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297" w:rsidRPr="00C46DE3" w:rsidRDefault="00711297" w:rsidP="00986843">
      <w:pPr>
        <w:ind w:left="3402" w:right="991" w:hanging="992"/>
        <w:jc w:val="both"/>
        <w:rPr>
          <w:rFonts w:ascii="Tahoma" w:hAnsi="Tahoma" w:cs="Tahoma"/>
          <w:i/>
          <w:sz w:val="20"/>
          <w:szCs w:val="20"/>
        </w:rPr>
      </w:pPr>
      <w:r w:rsidRPr="00C46DE3">
        <w:rPr>
          <w:rFonts w:ascii="Tahoma" w:hAnsi="Tahoma" w:cs="Tahoma"/>
          <w:b/>
          <w:i/>
          <w:sz w:val="20"/>
          <w:szCs w:val="20"/>
        </w:rPr>
        <w:t xml:space="preserve">Sumilla: </w:t>
      </w:r>
      <w:r w:rsidR="00C156F5" w:rsidRPr="00C46DE3">
        <w:rPr>
          <w:rFonts w:ascii="Tahoma" w:hAnsi="Tahoma" w:cs="Tahoma"/>
          <w:i/>
          <w:sz w:val="20"/>
          <w:szCs w:val="20"/>
        </w:rPr>
        <w:t>“</w:t>
      </w:r>
      <w:r w:rsidR="00C46DE3" w:rsidRPr="00C46DE3">
        <w:rPr>
          <w:rFonts w:ascii="Tahoma" w:hAnsi="Tahoma" w:cs="Tahoma"/>
          <w:i/>
          <w:sz w:val="20"/>
          <w:szCs w:val="20"/>
        </w:rPr>
        <w:tab/>
        <w:t>Por lo tanto, a pesar de que existe responsabilidad administrativa por parte del Consorcio, tal como se indicó en la resolución materia del presente recurso de reconsideración, este Tribunal estima que corresponde reformar la sanción impuesta mediante esta última, en virtud a las circunstancias atenuantes de responsabilidad alegadas por el Consorcio en la presente impugnación</w:t>
      </w:r>
      <w:r w:rsidR="00C46DE3">
        <w:rPr>
          <w:rFonts w:ascii="Tahoma" w:hAnsi="Tahoma" w:cs="Tahoma"/>
          <w:i/>
          <w:sz w:val="20"/>
          <w:szCs w:val="20"/>
        </w:rPr>
        <w:t>”</w:t>
      </w:r>
      <w:r w:rsidR="00491A1B" w:rsidRPr="00C46DE3">
        <w:rPr>
          <w:rFonts w:ascii="Tahoma" w:hAnsi="Tahoma" w:cs="Tahoma"/>
          <w:i/>
          <w:sz w:val="20"/>
          <w:szCs w:val="20"/>
        </w:rPr>
        <w:t>.</w:t>
      </w:r>
    </w:p>
    <w:p w:rsidR="00711297" w:rsidRPr="00C46DE3" w:rsidRDefault="00711297" w:rsidP="00986843">
      <w:pPr>
        <w:ind w:left="3402" w:right="991" w:hanging="992"/>
        <w:jc w:val="both"/>
        <w:rPr>
          <w:rFonts w:ascii="Tahoma" w:hAnsi="Tahoma" w:cs="Tahoma"/>
          <w:i/>
          <w:sz w:val="20"/>
          <w:szCs w:val="20"/>
        </w:rPr>
      </w:pPr>
    </w:p>
    <w:p w:rsidR="00711297" w:rsidRPr="00C46DE3" w:rsidRDefault="00711297" w:rsidP="00986843">
      <w:pPr>
        <w:pStyle w:val="Textoindependiente3"/>
        <w:ind w:left="4956" w:firstLine="708"/>
        <w:jc w:val="both"/>
        <w:rPr>
          <w:rFonts w:ascii="Tahoma" w:hAnsi="Tahoma" w:cs="Tahoma"/>
          <w:b/>
          <w:sz w:val="20"/>
          <w:szCs w:val="20"/>
        </w:rPr>
      </w:pPr>
      <w:r w:rsidRPr="00C46DE3">
        <w:rPr>
          <w:rFonts w:ascii="Tahoma" w:hAnsi="Tahoma" w:cs="Tahoma"/>
          <w:b/>
          <w:sz w:val="20"/>
          <w:szCs w:val="20"/>
        </w:rPr>
        <w:t xml:space="preserve">Lima, </w:t>
      </w:r>
      <w:r w:rsidR="00B42DF5">
        <w:rPr>
          <w:rFonts w:ascii="Tahoma" w:hAnsi="Tahoma" w:cs="Tahoma"/>
          <w:b/>
          <w:sz w:val="20"/>
          <w:szCs w:val="20"/>
        </w:rPr>
        <w:t>11 de Marzo de 2011</w:t>
      </w:r>
    </w:p>
    <w:p w:rsidR="00711297" w:rsidRPr="00C46DE3" w:rsidRDefault="00711297" w:rsidP="00986843">
      <w:pPr>
        <w:jc w:val="both"/>
        <w:rPr>
          <w:rFonts w:ascii="Tahoma" w:hAnsi="Tahoma" w:cs="Tahoma"/>
          <w:sz w:val="20"/>
          <w:szCs w:val="20"/>
        </w:rPr>
      </w:pPr>
      <w:r w:rsidRPr="00C46DE3">
        <w:rPr>
          <w:rFonts w:ascii="Tahoma" w:hAnsi="Tahoma" w:cs="Tahoma"/>
          <w:b/>
          <w:i/>
          <w:sz w:val="20"/>
          <w:szCs w:val="20"/>
        </w:rPr>
        <w:t xml:space="preserve">          </w:t>
      </w:r>
      <w:r w:rsidRPr="00C46DE3">
        <w:rPr>
          <w:rFonts w:ascii="Tahoma" w:hAnsi="Tahoma" w:cs="Tahoma"/>
          <w:b/>
          <w:sz w:val="20"/>
          <w:szCs w:val="20"/>
        </w:rPr>
        <w:t xml:space="preserve">VISTO </w:t>
      </w:r>
      <w:r w:rsidRPr="00C46DE3">
        <w:rPr>
          <w:rFonts w:ascii="Tahoma" w:hAnsi="Tahoma" w:cs="Tahoma"/>
          <w:sz w:val="20"/>
          <w:szCs w:val="20"/>
        </w:rPr>
        <w:t xml:space="preserve">en sesión de fecha </w:t>
      </w:r>
      <w:r w:rsidR="00CC02FE" w:rsidRPr="00C46DE3">
        <w:rPr>
          <w:rFonts w:ascii="Tahoma" w:hAnsi="Tahoma" w:cs="Tahoma"/>
          <w:sz w:val="20"/>
          <w:szCs w:val="20"/>
        </w:rPr>
        <w:t>11 de marzo de 2011</w:t>
      </w:r>
      <w:r w:rsidRPr="00C46DE3">
        <w:rPr>
          <w:rFonts w:ascii="Tahoma" w:hAnsi="Tahoma" w:cs="Tahoma"/>
          <w:sz w:val="20"/>
          <w:szCs w:val="20"/>
        </w:rPr>
        <w:t xml:space="preserve">, de la </w:t>
      </w:r>
      <w:r w:rsidR="00CC02FE" w:rsidRPr="00C46DE3">
        <w:rPr>
          <w:rFonts w:ascii="Tahoma" w:hAnsi="Tahoma" w:cs="Tahoma"/>
          <w:sz w:val="20"/>
          <w:szCs w:val="20"/>
        </w:rPr>
        <w:t>Primera</w:t>
      </w:r>
      <w:r w:rsidRPr="00C46DE3">
        <w:rPr>
          <w:rFonts w:ascii="Tahoma" w:hAnsi="Tahoma" w:cs="Tahoma"/>
          <w:sz w:val="20"/>
          <w:szCs w:val="20"/>
        </w:rPr>
        <w:t xml:space="preserve"> Sala del Tribunal de Contrataciones del Estado, el Expediente № </w:t>
      </w:r>
      <w:r w:rsidR="00C46DE3" w:rsidRPr="00C46DE3">
        <w:rPr>
          <w:rFonts w:ascii="Tahoma" w:hAnsi="Tahoma" w:cs="Tahoma"/>
          <w:sz w:val="20"/>
          <w:szCs w:val="20"/>
        </w:rPr>
        <w:t>1384</w:t>
      </w:r>
      <w:r w:rsidR="00B327B4" w:rsidRPr="00C46DE3">
        <w:rPr>
          <w:rFonts w:ascii="Tahoma" w:hAnsi="Tahoma" w:cs="Tahoma"/>
          <w:sz w:val="20"/>
          <w:szCs w:val="20"/>
        </w:rPr>
        <w:t>/2010</w:t>
      </w:r>
      <w:r w:rsidRPr="00C46DE3">
        <w:rPr>
          <w:rFonts w:ascii="Tahoma" w:hAnsi="Tahoma" w:cs="Tahoma"/>
          <w:sz w:val="20"/>
          <w:szCs w:val="20"/>
        </w:rPr>
        <w:t xml:space="preserve">.TC sobre el recurso de reconsideración interpuesto por </w:t>
      </w:r>
      <w:r w:rsidR="00C46DE3">
        <w:rPr>
          <w:rFonts w:ascii="Tahoma" w:hAnsi="Tahoma" w:cs="Tahoma"/>
          <w:sz w:val="20"/>
          <w:szCs w:val="20"/>
        </w:rPr>
        <w:t xml:space="preserve">el </w:t>
      </w:r>
      <w:r w:rsidR="00C46DE3" w:rsidRPr="00C46DE3">
        <w:rPr>
          <w:rFonts w:ascii="Tahoma" w:hAnsi="Tahoma" w:cs="Tahoma"/>
          <w:sz w:val="20"/>
          <w:szCs w:val="20"/>
        </w:rPr>
        <w:t>Consorcio conformado por las empresas EH DATA S.A.C., ALDEX GROUP S.A.C. y SERVIGER E.I.R.L.</w:t>
      </w:r>
      <w:r w:rsidR="00C46DE3">
        <w:rPr>
          <w:rFonts w:ascii="Tahoma" w:hAnsi="Tahoma" w:cs="Tahoma"/>
          <w:sz w:val="20"/>
          <w:szCs w:val="20"/>
        </w:rPr>
        <w:t xml:space="preserve"> </w:t>
      </w:r>
      <w:r w:rsidRPr="00C46DE3">
        <w:rPr>
          <w:rFonts w:ascii="Tahoma" w:hAnsi="Tahoma" w:cs="Tahoma"/>
          <w:sz w:val="20"/>
          <w:szCs w:val="20"/>
        </w:rPr>
        <w:t xml:space="preserve">contra la Resolución </w:t>
      </w:r>
      <w:r w:rsidR="00C46DE3" w:rsidRPr="00C46DE3">
        <w:rPr>
          <w:rFonts w:ascii="Tahoma" w:hAnsi="Tahoma" w:cs="Tahoma"/>
          <w:sz w:val="20"/>
          <w:szCs w:val="20"/>
        </w:rPr>
        <w:t>№ 211-2011-TC-S3 del 09 de febrero de 2011</w:t>
      </w:r>
      <w:r w:rsidRPr="00C46DE3">
        <w:rPr>
          <w:rFonts w:ascii="Tahoma" w:hAnsi="Tahoma" w:cs="Tahoma"/>
          <w:sz w:val="20"/>
          <w:szCs w:val="20"/>
        </w:rPr>
        <w:t xml:space="preserve">, que dispuso imponer sanción administrativa de inhabilitación temporal en sus derechos para participar en procesos de selección y contratar con el Estado, por el periodo de </w:t>
      </w:r>
      <w:r w:rsidR="00C46DE3">
        <w:rPr>
          <w:rFonts w:ascii="Tahoma" w:hAnsi="Tahoma" w:cs="Tahoma"/>
          <w:sz w:val="20"/>
          <w:szCs w:val="20"/>
        </w:rPr>
        <w:t xml:space="preserve">catorce </w:t>
      </w:r>
      <w:r w:rsidRPr="00C46DE3">
        <w:rPr>
          <w:rFonts w:ascii="Tahoma" w:hAnsi="Tahoma" w:cs="Tahoma"/>
          <w:sz w:val="20"/>
          <w:szCs w:val="20"/>
        </w:rPr>
        <w:t>(</w:t>
      </w:r>
      <w:r w:rsidR="009C3AD8" w:rsidRPr="00C46DE3">
        <w:rPr>
          <w:rFonts w:ascii="Tahoma" w:hAnsi="Tahoma" w:cs="Tahoma"/>
          <w:sz w:val="20"/>
          <w:szCs w:val="20"/>
        </w:rPr>
        <w:t>1</w:t>
      </w:r>
      <w:r w:rsidR="00C46DE3">
        <w:rPr>
          <w:rFonts w:ascii="Tahoma" w:hAnsi="Tahoma" w:cs="Tahoma"/>
          <w:sz w:val="20"/>
          <w:szCs w:val="20"/>
        </w:rPr>
        <w:t>4</w:t>
      </w:r>
      <w:r w:rsidRPr="00C46DE3">
        <w:rPr>
          <w:rFonts w:ascii="Tahoma" w:hAnsi="Tahoma" w:cs="Tahoma"/>
          <w:sz w:val="20"/>
          <w:szCs w:val="20"/>
        </w:rPr>
        <w:t xml:space="preserve">) meses; y, atendiendo a los siguientes: </w:t>
      </w:r>
    </w:p>
    <w:p w:rsidR="00711297" w:rsidRPr="00C46DE3" w:rsidRDefault="00711297" w:rsidP="00986843">
      <w:pPr>
        <w:jc w:val="both"/>
        <w:rPr>
          <w:rFonts w:ascii="Tahoma" w:hAnsi="Tahoma" w:cs="Tahoma"/>
          <w:color w:val="000000"/>
          <w:sz w:val="20"/>
          <w:szCs w:val="20"/>
        </w:rPr>
      </w:pPr>
    </w:p>
    <w:p w:rsidR="00711297" w:rsidRPr="00C46DE3" w:rsidRDefault="00711297" w:rsidP="00986843">
      <w:pPr>
        <w:jc w:val="both"/>
        <w:rPr>
          <w:rFonts w:ascii="Tahoma" w:hAnsi="Tahoma" w:cs="Tahoma"/>
          <w:b/>
          <w:sz w:val="20"/>
          <w:szCs w:val="20"/>
        </w:rPr>
      </w:pPr>
      <w:r w:rsidRPr="00C46DE3">
        <w:rPr>
          <w:rFonts w:ascii="Tahoma" w:hAnsi="Tahoma" w:cs="Tahoma"/>
          <w:b/>
          <w:sz w:val="20"/>
          <w:szCs w:val="20"/>
        </w:rPr>
        <w:t>ANTECEDENTES:</w:t>
      </w:r>
    </w:p>
    <w:p w:rsidR="00711297" w:rsidRPr="00C46DE3" w:rsidRDefault="00711297" w:rsidP="00986843">
      <w:pPr>
        <w:jc w:val="both"/>
        <w:rPr>
          <w:rFonts w:ascii="Tahoma" w:hAnsi="Tahoma" w:cs="Tahoma"/>
          <w:b/>
          <w:sz w:val="20"/>
          <w:szCs w:val="20"/>
        </w:rPr>
      </w:pPr>
    </w:p>
    <w:p w:rsidR="00C46DE3" w:rsidRPr="00C46DE3" w:rsidRDefault="00C46DE3" w:rsidP="00C46DE3">
      <w:pPr>
        <w:numPr>
          <w:ilvl w:val="0"/>
          <w:numId w:val="23"/>
        </w:numPr>
        <w:ind w:left="567" w:hanging="567"/>
        <w:jc w:val="both"/>
        <w:rPr>
          <w:rFonts w:ascii="Tahoma" w:hAnsi="Tahoma" w:cs="Tahoma"/>
          <w:sz w:val="20"/>
          <w:szCs w:val="20"/>
        </w:rPr>
      </w:pPr>
      <w:r w:rsidRPr="00C46DE3">
        <w:rPr>
          <w:rFonts w:ascii="Tahoma" w:hAnsi="Tahoma" w:cs="Tahoma"/>
          <w:sz w:val="20"/>
          <w:szCs w:val="20"/>
        </w:rPr>
        <w:t>El 04 de junio de 2010, el Ministerio Público, en adelante la Entidad, convocó la Adjudicación Directa Pública № 0007-2010-MPFN, primera convocatoria, para la “Adquisición de Equipos y Accesorios de Aseo y Limpieza”, según relación de ítems, bajo el sistema de precios unitarios, por un valor referencial de S/. 323,696.00 (Trescientos veintitrés mil seiscientos noventa y seis con 00/100 nuevos soles), incluido los impuesto de ley.</w:t>
      </w:r>
    </w:p>
    <w:p w:rsidR="00C46DE3" w:rsidRPr="00C46DE3" w:rsidRDefault="00C46DE3" w:rsidP="00C46DE3">
      <w:pPr>
        <w:ind w:left="567"/>
        <w:rPr>
          <w:rFonts w:ascii="Tahoma" w:hAnsi="Tahoma" w:cs="Tahoma"/>
          <w:sz w:val="20"/>
          <w:szCs w:val="20"/>
        </w:rPr>
      </w:pPr>
    </w:p>
    <w:p w:rsidR="00C46DE3" w:rsidRPr="00C46DE3" w:rsidRDefault="00C46DE3" w:rsidP="00C46DE3">
      <w:pPr>
        <w:numPr>
          <w:ilvl w:val="0"/>
          <w:numId w:val="23"/>
        </w:numPr>
        <w:ind w:left="567" w:hanging="567"/>
        <w:jc w:val="both"/>
        <w:rPr>
          <w:rFonts w:ascii="Tahoma" w:hAnsi="Tahoma" w:cs="Tahoma"/>
          <w:sz w:val="20"/>
          <w:szCs w:val="20"/>
        </w:rPr>
      </w:pPr>
      <w:r w:rsidRPr="00C46DE3">
        <w:rPr>
          <w:rFonts w:ascii="Tahoma" w:hAnsi="Tahoma" w:cs="Tahoma"/>
          <w:sz w:val="20"/>
          <w:szCs w:val="20"/>
        </w:rPr>
        <w:t>Como resultado del proceso de selección, el 30 de junio de 2010, se otorgó la Buena Pro del ítem № 2 al Consorcio conformado por las empresas EH DATA S.A.C., ALDEX GROUP S.A.C. y SERVIGER E.I.R.L., por su oferta económica ascendente a S/. 196,047.00 nuevos soles.</w:t>
      </w:r>
    </w:p>
    <w:p w:rsidR="00C46DE3" w:rsidRPr="00C46DE3" w:rsidRDefault="00C46DE3" w:rsidP="00C46DE3">
      <w:pPr>
        <w:pStyle w:val="Prrafodelista"/>
        <w:rPr>
          <w:rFonts w:ascii="Tahoma" w:hAnsi="Tahoma" w:cs="Tahoma"/>
          <w:sz w:val="20"/>
          <w:szCs w:val="20"/>
        </w:rPr>
      </w:pPr>
    </w:p>
    <w:p w:rsidR="00C46DE3" w:rsidRPr="00C46DE3" w:rsidRDefault="00C46DE3" w:rsidP="00C46DE3">
      <w:pPr>
        <w:numPr>
          <w:ilvl w:val="0"/>
          <w:numId w:val="23"/>
        </w:numPr>
        <w:ind w:left="567" w:hanging="567"/>
        <w:jc w:val="both"/>
        <w:rPr>
          <w:rFonts w:ascii="Tahoma" w:hAnsi="Tahoma" w:cs="Tahoma"/>
          <w:sz w:val="20"/>
          <w:szCs w:val="20"/>
        </w:rPr>
      </w:pPr>
      <w:r w:rsidRPr="00C46DE3">
        <w:rPr>
          <w:rFonts w:ascii="Tahoma" w:hAnsi="Tahoma" w:cs="Tahoma"/>
          <w:sz w:val="20"/>
          <w:szCs w:val="20"/>
        </w:rPr>
        <w:t xml:space="preserve">El 16 de agosto de 2010, la Entidad y el Consorcio conformado por las empresas EH DATA S.A.C., ALDEX GROUP S.A.C. y SERVIGER E.I.R.L., en adelante el Consorcio, suscribieron el Contrato № 09-2010-ADP-MP-FN-GG-GECLOG, para la adquisición de cincuenta y tres (53) unidades de lustradoras industriales, por el monto de S/. 196,047.00, y con plazo de ejecución contractual dos (02) días calendario de suscrito el contrato. </w:t>
      </w:r>
    </w:p>
    <w:p w:rsidR="00C46DE3" w:rsidRPr="00C46DE3" w:rsidRDefault="00C46DE3" w:rsidP="00C46DE3">
      <w:pPr>
        <w:pStyle w:val="Prrafodelista"/>
        <w:rPr>
          <w:rFonts w:ascii="Tahoma" w:hAnsi="Tahoma" w:cs="Tahoma"/>
          <w:sz w:val="20"/>
          <w:szCs w:val="20"/>
        </w:rPr>
      </w:pPr>
    </w:p>
    <w:p w:rsidR="00C46DE3" w:rsidRPr="00C46DE3" w:rsidRDefault="00C46DE3" w:rsidP="00C46DE3">
      <w:pPr>
        <w:numPr>
          <w:ilvl w:val="0"/>
          <w:numId w:val="23"/>
        </w:numPr>
        <w:ind w:left="567" w:hanging="567"/>
        <w:jc w:val="both"/>
        <w:rPr>
          <w:rFonts w:ascii="Tahoma" w:hAnsi="Tahoma" w:cs="Tahoma"/>
          <w:sz w:val="20"/>
          <w:szCs w:val="20"/>
        </w:rPr>
      </w:pPr>
      <w:r w:rsidRPr="00C46DE3">
        <w:rPr>
          <w:rFonts w:ascii="Tahoma" w:hAnsi="Tahoma" w:cs="Tahoma"/>
          <w:sz w:val="20"/>
          <w:szCs w:val="20"/>
        </w:rPr>
        <w:t xml:space="preserve">Mediante escrito presentado el 18 de agosto de 2010, el representante legal del Consorcio comunicó a la Entidad, que por motivos de fuerza mayor, su representada no podía internar los bienes adjudicados, debido a que su proveedor tenía problemas comerciales y políticas de venta; razón por la cual, manifestó que cumpliría con sus obligaciones contractuales, entregando a la Entidad equipos –que según afirmó– cumplían a cabalidad con las especificaciones técnicas solicitadas en las Bases, superando la calidad de los inicialmente ofrecidos en su propuesta técnica. Para tal efecto, el </w:t>
      </w:r>
      <w:r w:rsidRPr="00C46DE3">
        <w:rPr>
          <w:rFonts w:ascii="Tahoma" w:hAnsi="Tahoma" w:cs="Tahoma"/>
          <w:sz w:val="20"/>
          <w:szCs w:val="20"/>
        </w:rPr>
        <w:lastRenderedPageBreak/>
        <w:t>Consorcio solicitó el plazo de treinta (30) días calendario a fin de cumplir con la entrega  total de los equipos marca NILFISK-ADVANCE modelo PACESETTER 20HD, toda vez que a la fecha podía cumplir con los 39 equipos antes mencionados.</w:t>
      </w:r>
    </w:p>
    <w:p w:rsidR="00C46DE3" w:rsidRPr="00C46DE3" w:rsidRDefault="00C46DE3" w:rsidP="00C46DE3">
      <w:pPr>
        <w:pStyle w:val="Prrafodelista"/>
        <w:rPr>
          <w:rFonts w:ascii="Tahoma" w:hAnsi="Tahoma" w:cs="Tahoma"/>
          <w:sz w:val="20"/>
          <w:szCs w:val="20"/>
        </w:rPr>
      </w:pPr>
    </w:p>
    <w:p w:rsidR="00C46DE3" w:rsidRPr="00C46DE3" w:rsidRDefault="00C46DE3" w:rsidP="00C46DE3">
      <w:pPr>
        <w:numPr>
          <w:ilvl w:val="0"/>
          <w:numId w:val="23"/>
        </w:numPr>
        <w:ind w:left="567" w:hanging="567"/>
        <w:jc w:val="both"/>
        <w:rPr>
          <w:rFonts w:ascii="Tahoma" w:hAnsi="Tahoma" w:cs="Tahoma"/>
          <w:sz w:val="20"/>
          <w:szCs w:val="20"/>
        </w:rPr>
      </w:pPr>
      <w:r w:rsidRPr="00C46DE3">
        <w:rPr>
          <w:rFonts w:ascii="Tahoma" w:hAnsi="Tahoma" w:cs="Tahoma"/>
          <w:sz w:val="20"/>
          <w:szCs w:val="20"/>
        </w:rPr>
        <w:t>Mediante Oficio № 1859-2010-MP-FN-GG-GECLOG de fecha 23 de agosto de 2010, notificado el mismo día, mes y año, la Gerencia Central de Logística de la Entidad comunicó al Consorcio, la improcedencia de la solicitud de ampliación de plazo solicitada por éste, al no haber presentado medios probatorios que acrediten la causal de fuerza mayor.</w:t>
      </w:r>
    </w:p>
    <w:p w:rsidR="00C46DE3" w:rsidRPr="00C46DE3" w:rsidRDefault="00C46DE3" w:rsidP="00C46DE3">
      <w:pPr>
        <w:pStyle w:val="Prrafodelista"/>
        <w:rPr>
          <w:rFonts w:ascii="Tahoma" w:hAnsi="Tahoma" w:cs="Tahoma"/>
          <w:sz w:val="20"/>
          <w:szCs w:val="20"/>
        </w:rPr>
      </w:pPr>
    </w:p>
    <w:p w:rsidR="00C46DE3" w:rsidRPr="00C46DE3" w:rsidRDefault="00C46DE3" w:rsidP="00C46DE3">
      <w:pPr>
        <w:numPr>
          <w:ilvl w:val="0"/>
          <w:numId w:val="23"/>
        </w:numPr>
        <w:ind w:left="567" w:hanging="567"/>
        <w:jc w:val="both"/>
        <w:rPr>
          <w:rFonts w:ascii="Tahoma" w:hAnsi="Tahoma" w:cs="Tahoma"/>
          <w:sz w:val="20"/>
          <w:szCs w:val="20"/>
        </w:rPr>
      </w:pPr>
      <w:r w:rsidRPr="00C46DE3">
        <w:rPr>
          <w:rFonts w:ascii="Tahoma" w:hAnsi="Tahoma" w:cs="Tahoma"/>
          <w:sz w:val="20"/>
          <w:szCs w:val="20"/>
        </w:rPr>
        <w:t>El 24 de agosto de 2010, el Consorcio manifestó que presentó la solicitud de ampliación de plazo de acuerdo a lo establecido en los artículos 151 y 175 de la Ley y el Reglamento, respectivamente; habiendo efectuado diligentemente las solicitudes y tramites de acuerdo a Ley.</w:t>
      </w:r>
    </w:p>
    <w:p w:rsidR="00C46DE3" w:rsidRPr="00C46DE3" w:rsidRDefault="00C46DE3" w:rsidP="00C46DE3">
      <w:pPr>
        <w:pStyle w:val="Prrafodelista"/>
        <w:rPr>
          <w:rFonts w:ascii="Tahoma" w:hAnsi="Tahoma" w:cs="Tahoma"/>
          <w:sz w:val="20"/>
          <w:szCs w:val="20"/>
        </w:rPr>
      </w:pPr>
    </w:p>
    <w:p w:rsidR="00C46DE3" w:rsidRPr="00C46DE3" w:rsidRDefault="00C46DE3" w:rsidP="00C46DE3">
      <w:pPr>
        <w:numPr>
          <w:ilvl w:val="0"/>
          <w:numId w:val="23"/>
        </w:numPr>
        <w:ind w:left="567" w:hanging="567"/>
        <w:jc w:val="both"/>
        <w:rPr>
          <w:rFonts w:ascii="Tahoma" w:hAnsi="Tahoma" w:cs="Tahoma"/>
          <w:sz w:val="20"/>
          <w:szCs w:val="20"/>
        </w:rPr>
      </w:pPr>
      <w:r w:rsidRPr="00C46DE3">
        <w:rPr>
          <w:rFonts w:ascii="Tahoma" w:hAnsi="Tahoma" w:cs="Tahoma"/>
          <w:sz w:val="20"/>
          <w:szCs w:val="20"/>
        </w:rPr>
        <w:t>A través del Oficio № 1944-2010-MP-FN-GG-GECLOG de fecha 31 de agosto de 2010, notificado el mismo día, mes y año, la Gerencia Central de Logística de la Entidad reiteró al Consorcio, la improcedencia de la solicitud de ampliación de plazo para la entrega de los bienes ofrecidos, al no haber presentado medios probatorios que acrediten la causal de fuerza mayor. Asimismo, la Entidad exhortó al Consorcio para que cumpla con la entrega de los bienes adjudicados en el plazo previsto en el contrato.</w:t>
      </w:r>
    </w:p>
    <w:p w:rsidR="00C46DE3" w:rsidRPr="00C46DE3" w:rsidRDefault="00C46DE3" w:rsidP="00C46DE3">
      <w:pPr>
        <w:pStyle w:val="Prrafodelista"/>
        <w:rPr>
          <w:rFonts w:ascii="Tahoma" w:hAnsi="Tahoma" w:cs="Tahoma"/>
          <w:sz w:val="20"/>
          <w:szCs w:val="20"/>
        </w:rPr>
      </w:pPr>
    </w:p>
    <w:p w:rsidR="00C46DE3" w:rsidRPr="00C46DE3" w:rsidRDefault="00C46DE3" w:rsidP="00C46DE3">
      <w:pPr>
        <w:numPr>
          <w:ilvl w:val="0"/>
          <w:numId w:val="23"/>
        </w:numPr>
        <w:ind w:left="567" w:hanging="567"/>
        <w:jc w:val="both"/>
        <w:rPr>
          <w:rFonts w:ascii="Tahoma" w:hAnsi="Tahoma" w:cs="Tahoma"/>
          <w:sz w:val="20"/>
          <w:szCs w:val="20"/>
        </w:rPr>
      </w:pPr>
      <w:r w:rsidRPr="00C46DE3">
        <w:rPr>
          <w:rFonts w:ascii="Tahoma" w:hAnsi="Tahoma" w:cs="Tahoma"/>
          <w:sz w:val="20"/>
          <w:szCs w:val="20"/>
        </w:rPr>
        <w:t>El 03 de septiembre de 2010, la Entidad y el representante del Consorcio, suscribieron  Acta de Verificación Técnica, mediante el cual se acordó que el Ingeniero Químico Warren Reátegui Romero realizaría un peritaje de las partes de las lustradoras industriales, a fin de determinar si éstas eran de acero inoxidable.</w:t>
      </w:r>
    </w:p>
    <w:p w:rsidR="00C46DE3" w:rsidRPr="00C46DE3" w:rsidRDefault="00C46DE3" w:rsidP="00C46DE3">
      <w:pPr>
        <w:pStyle w:val="Prrafodelista"/>
        <w:rPr>
          <w:rFonts w:ascii="Tahoma" w:hAnsi="Tahoma" w:cs="Tahoma"/>
          <w:sz w:val="20"/>
          <w:szCs w:val="20"/>
        </w:rPr>
      </w:pPr>
    </w:p>
    <w:p w:rsidR="00C46DE3" w:rsidRPr="00C46DE3" w:rsidRDefault="00C46DE3" w:rsidP="00C46DE3">
      <w:pPr>
        <w:numPr>
          <w:ilvl w:val="0"/>
          <w:numId w:val="23"/>
        </w:numPr>
        <w:ind w:left="567" w:hanging="567"/>
        <w:jc w:val="both"/>
        <w:rPr>
          <w:rFonts w:ascii="Tahoma" w:hAnsi="Tahoma" w:cs="Tahoma"/>
          <w:sz w:val="20"/>
          <w:szCs w:val="20"/>
        </w:rPr>
      </w:pPr>
      <w:r w:rsidRPr="00C46DE3">
        <w:rPr>
          <w:rFonts w:ascii="Tahoma" w:hAnsi="Tahoma" w:cs="Tahoma"/>
          <w:sz w:val="20"/>
          <w:szCs w:val="20"/>
        </w:rPr>
        <w:t>A través de la Carta Notarial №  24-2010-MP-FN-GG-GECLOG de fecha 02 de septiembre de 2010, diligenciada el 06 del mismo mes y año, la Entidad comunicó al Consorcio la resolución del vínculo contractual, toda vez que había llegado a acumular el máximo de penalidad por mora, causal atribuible a su parte.</w:t>
      </w:r>
    </w:p>
    <w:p w:rsidR="00C46DE3" w:rsidRPr="00C46DE3" w:rsidRDefault="00C46DE3" w:rsidP="00C46DE3">
      <w:pPr>
        <w:pStyle w:val="Prrafodelista"/>
        <w:rPr>
          <w:rFonts w:ascii="Tahoma" w:hAnsi="Tahoma" w:cs="Tahoma"/>
          <w:sz w:val="20"/>
          <w:szCs w:val="20"/>
        </w:rPr>
      </w:pPr>
    </w:p>
    <w:p w:rsidR="00C46DE3" w:rsidRPr="00C46DE3" w:rsidRDefault="00C46DE3" w:rsidP="00C46DE3">
      <w:pPr>
        <w:numPr>
          <w:ilvl w:val="0"/>
          <w:numId w:val="23"/>
        </w:numPr>
        <w:ind w:left="567" w:hanging="567"/>
        <w:jc w:val="both"/>
        <w:rPr>
          <w:rFonts w:ascii="Tahoma" w:hAnsi="Tahoma" w:cs="Tahoma"/>
          <w:sz w:val="20"/>
          <w:szCs w:val="20"/>
        </w:rPr>
      </w:pPr>
      <w:r w:rsidRPr="00C46DE3">
        <w:rPr>
          <w:rFonts w:ascii="Tahoma" w:hAnsi="Tahoma" w:cs="Tahoma"/>
          <w:sz w:val="20"/>
          <w:szCs w:val="20"/>
        </w:rPr>
        <w:t>Mediante carta s/n presentado el 10 de septiembre de 2010, el Ingeniero Químico Warren Reátegui Romero presentó ante la Entidad, el peritaje realizado a las partes de la lustradora industrial marca NILFISK-ADVANCE modelo PACESETTER 20HD, en el cual manifestó, que de la inspección visual y los análisis químicos - físicos practicados a las piezas metálicas (mástil, tapa de motor y plato) de la lustradora industrial corresponden al acero común con un recubrimiento de cromado decorativo, por lo que concluyó que no son de acero inoxidable.</w:t>
      </w:r>
    </w:p>
    <w:p w:rsidR="00C46DE3" w:rsidRPr="00C46DE3" w:rsidRDefault="00C46DE3" w:rsidP="00C46DE3">
      <w:pPr>
        <w:pStyle w:val="Prrafodelista"/>
        <w:rPr>
          <w:rFonts w:ascii="Tahoma" w:hAnsi="Tahoma" w:cs="Tahoma"/>
          <w:sz w:val="20"/>
          <w:szCs w:val="20"/>
        </w:rPr>
      </w:pPr>
    </w:p>
    <w:p w:rsidR="00C46DE3" w:rsidRPr="00C46DE3" w:rsidRDefault="00C46DE3" w:rsidP="00C46DE3">
      <w:pPr>
        <w:numPr>
          <w:ilvl w:val="0"/>
          <w:numId w:val="23"/>
        </w:numPr>
        <w:ind w:left="567" w:hanging="567"/>
        <w:jc w:val="both"/>
        <w:rPr>
          <w:rFonts w:ascii="Tahoma" w:hAnsi="Tahoma" w:cs="Tahoma"/>
          <w:sz w:val="20"/>
          <w:szCs w:val="20"/>
        </w:rPr>
      </w:pPr>
      <w:r w:rsidRPr="00C46DE3">
        <w:rPr>
          <w:rFonts w:ascii="Tahoma" w:hAnsi="Tahoma" w:cs="Tahoma"/>
          <w:sz w:val="20"/>
          <w:szCs w:val="20"/>
        </w:rPr>
        <w:t>Con escrito s/n presentado el 30 de septiembre de 2010, la empresa COMERCIAL E INDUSTRIAL BRANFISA S.A. puso en conocimiento del Tribunal de Contrataciones del Estado, en adelante el Tribunal, la supuesta responsabilidad del Consorcio en la resolución del Contrato № 09-2010-ADP-MP-FN-GG-GECLOG, así como por haber presentado supuesta documentación falsa y/o inexacta durante la ejecución contractual.</w:t>
      </w:r>
    </w:p>
    <w:p w:rsidR="00C46DE3" w:rsidRPr="00C46DE3" w:rsidRDefault="00C46DE3" w:rsidP="00C46DE3">
      <w:pPr>
        <w:pStyle w:val="Prrafodelista"/>
        <w:rPr>
          <w:rFonts w:ascii="Tahoma" w:hAnsi="Tahoma" w:cs="Tahoma"/>
          <w:sz w:val="20"/>
          <w:szCs w:val="20"/>
        </w:rPr>
      </w:pPr>
    </w:p>
    <w:p w:rsidR="00C46DE3" w:rsidRPr="00C46DE3" w:rsidRDefault="00C46DE3" w:rsidP="00C46DE3">
      <w:pPr>
        <w:numPr>
          <w:ilvl w:val="0"/>
          <w:numId w:val="23"/>
        </w:numPr>
        <w:ind w:left="567" w:hanging="567"/>
        <w:jc w:val="both"/>
        <w:rPr>
          <w:rFonts w:ascii="Tahoma" w:hAnsi="Tahoma" w:cs="Tahoma"/>
          <w:sz w:val="20"/>
          <w:szCs w:val="20"/>
        </w:rPr>
      </w:pPr>
      <w:r w:rsidRPr="00C46DE3">
        <w:rPr>
          <w:rFonts w:ascii="Tahoma" w:hAnsi="Tahoma" w:cs="Tahoma"/>
          <w:sz w:val="20"/>
          <w:szCs w:val="20"/>
        </w:rPr>
        <w:t xml:space="preserve">Mediante decreto de fecha 06 de octubre de 2010, notificado el 29 del mismo mes y año, previamente al inicio del procedimiento administrativo sancionador, el Tribunal requirió a la Entidad que remita, entre otros, un informe técnico legal sobre la procedencia y </w:t>
      </w:r>
      <w:r w:rsidRPr="00C46DE3">
        <w:rPr>
          <w:rFonts w:ascii="Tahoma" w:hAnsi="Tahoma" w:cs="Tahoma"/>
          <w:sz w:val="20"/>
          <w:szCs w:val="20"/>
        </w:rPr>
        <w:lastRenderedPageBreak/>
        <w:t xml:space="preserve">supuesta responsabilidad del Consorcio en los hechos denunciados, y de ser el caso, remita </w:t>
      </w:r>
      <w:r w:rsidRPr="00C46DE3">
        <w:rPr>
          <w:rFonts w:ascii="Tahoma" w:hAnsi="Tahoma" w:cs="Tahoma"/>
          <w:sz w:val="20"/>
          <w:szCs w:val="20"/>
          <w:lang w:val="es-PE"/>
        </w:rPr>
        <w:t>los documentos supuestamente falsos o inexactos presentados por el Consorcio en el respectivo proceso de selección.</w:t>
      </w:r>
    </w:p>
    <w:p w:rsidR="00C46DE3" w:rsidRPr="00C46DE3" w:rsidRDefault="00C46DE3" w:rsidP="00C46DE3">
      <w:pPr>
        <w:pStyle w:val="Prrafodelista"/>
        <w:rPr>
          <w:rFonts w:ascii="Tahoma" w:hAnsi="Tahoma" w:cs="Tahoma"/>
          <w:sz w:val="20"/>
          <w:szCs w:val="20"/>
        </w:rPr>
      </w:pPr>
    </w:p>
    <w:p w:rsidR="00C46DE3" w:rsidRPr="00C46DE3" w:rsidRDefault="00C46DE3" w:rsidP="00C46DE3">
      <w:pPr>
        <w:numPr>
          <w:ilvl w:val="0"/>
          <w:numId w:val="23"/>
        </w:numPr>
        <w:ind w:left="567" w:hanging="567"/>
        <w:jc w:val="both"/>
        <w:rPr>
          <w:rFonts w:ascii="Tahoma" w:hAnsi="Tahoma" w:cs="Tahoma"/>
          <w:sz w:val="20"/>
          <w:szCs w:val="20"/>
        </w:rPr>
      </w:pPr>
      <w:r w:rsidRPr="00C46DE3">
        <w:rPr>
          <w:rFonts w:ascii="Tahoma" w:hAnsi="Tahoma" w:cs="Tahoma"/>
          <w:sz w:val="20"/>
          <w:szCs w:val="20"/>
        </w:rPr>
        <w:t xml:space="preserve">El 18 de noviembre de 2010, mediante escrito s/n, la Entidad cumplió con remitir la información solicita por el Tribunal. Asimismo, señaló que había resuelto el Contrato № 09-2010-ADP-MP-FN-GG-GECLOG, por causal atribuible al Consorcio; asimismo, comunicó que el Consorcio habría presentado documentación inexacta referido al escrito de fecha 18 de agosto de 2010, en el cual manifestó que los bienes internados con ocasión al citado contrato cumplían a cabalidad con las especificaciones técnicas solicitadas en las Bases, superando la calidad de los inicialmente ofrecidos en su propuesta técnica. </w:t>
      </w:r>
    </w:p>
    <w:p w:rsidR="00C46DE3" w:rsidRPr="00C46DE3" w:rsidRDefault="00C46DE3" w:rsidP="00C46DE3">
      <w:pPr>
        <w:pStyle w:val="Prrafodelista"/>
        <w:rPr>
          <w:rFonts w:ascii="Tahoma" w:hAnsi="Tahoma" w:cs="Tahoma"/>
          <w:sz w:val="20"/>
          <w:szCs w:val="20"/>
        </w:rPr>
      </w:pPr>
    </w:p>
    <w:p w:rsidR="00C46DE3" w:rsidRPr="00C46DE3" w:rsidRDefault="00C46DE3" w:rsidP="00C46DE3">
      <w:pPr>
        <w:numPr>
          <w:ilvl w:val="0"/>
          <w:numId w:val="23"/>
        </w:numPr>
        <w:ind w:left="567" w:hanging="567"/>
        <w:jc w:val="both"/>
        <w:rPr>
          <w:rFonts w:ascii="Tahoma" w:hAnsi="Tahoma" w:cs="Tahoma"/>
          <w:sz w:val="20"/>
          <w:szCs w:val="20"/>
        </w:rPr>
      </w:pPr>
      <w:r w:rsidRPr="00C46DE3">
        <w:rPr>
          <w:rFonts w:ascii="Tahoma" w:hAnsi="Tahoma" w:cs="Tahoma"/>
          <w:sz w:val="20"/>
          <w:szCs w:val="20"/>
        </w:rPr>
        <w:t>Con decreto de fecha 23 de noviembre de 2010, el Tribunal inició el procedimiento administrativo sancionador contra los integrantes del Consorcio por su supuesta responsabilidad en la resolución del Contrato № 09-2010-ADP-MP-FN-GG-GECLOG de fecha 16 de agosto de 2010, derivado de la Adjudicación Directa Pública № 0007-2010-MPFN, primera convocatoria, por causal atribuible a su parte, así como por haber presentado el escrito denominado “Reemplazo de equipos y ampliación de plazo de entrega” de fecha 18 de agosto de 2010, documento supuestamente falso y/o inexacto, infracciones tipificadas en los literales b) e i) del numeral 1 del artículo 237 del Reglamento de la Ley de Contrataciones del Estado. Asimismo, les otorgó el plazo de diez (10) días para que presentaran sus descargos.</w:t>
      </w:r>
    </w:p>
    <w:p w:rsidR="00C46DE3" w:rsidRPr="00C46DE3" w:rsidRDefault="00C46DE3" w:rsidP="00C46DE3">
      <w:pPr>
        <w:pStyle w:val="Prrafodelista"/>
        <w:rPr>
          <w:rFonts w:ascii="Tahoma" w:hAnsi="Tahoma" w:cs="Tahoma"/>
          <w:sz w:val="20"/>
          <w:szCs w:val="20"/>
        </w:rPr>
      </w:pPr>
    </w:p>
    <w:p w:rsidR="00C46DE3" w:rsidRPr="00C46DE3" w:rsidRDefault="00C46DE3" w:rsidP="00C46DE3">
      <w:pPr>
        <w:numPr>
          <w:ilvl w:val="0"/>
          <w:numId w:val="23"/>
        </w:numPr>
        <w:ind w:left="567" w:hanging="567"/>
        <w:jc w:val="both"/>
        <w:rPr>
          <w:rFonts w:ascii="Tahoma" w:hAnsi="Tahoma" w:cs="Tahoma"/>
          <w:sz w:val="20"/>
          <w:szCs w:val="20"/>
        </w:rPr>
      </w:pPr>
      <w:r w:rsidRPr="00C46DE3">
        <w:rPr>
          <w:rFonts w:ascii="Tahoma" w:hAnsi="Tahoma" w:cs="Tahoma"/>
          <w:sz w:val="20"/>
          <w:szCs w:val="20"/>
        </w:rPr>
        <w:t>El 03 y 07 de enero de 2011, a través de los escritos, las empresas ALDEX GROUP S.A.C., SERVIGER E.I.R.L., EH DATA S.A.C. integrantes del Consorcio presentaron su escrito de descargos bajo los siguientes términos:</w:t>
      </w:r>
    </w:p>
    <w:p w:rsidR="00C46DE3" w:rsidRPr="00C46DE3" w:rsidRDefault="00C46DE3" w:rsidP="00C46DE3">
      <w:pPr>
        <w:pStyle w:val="Prrafodelista"/>
        <w:rPr>
          <w:rFonts w:ascii="Tahoma" w:hAnsi="Tahoma" w:cs="Tahoma"/>
          <w:sz w:val="20"/>
          <w:szCs w:val="20"/>
        </w:rPr>
      </w:pPr>
    </w:p>
    <w:p w:rsidR="00C46DE3" w:rsidRPr="00C46DE3" w:rsidRDefault="00C46DE3" w:rsidP="00C46DE3">
      <w:pPr>
        <w:numPr>
          <w:ilvl w:val="0"/>
          <w:numId w:val="24"/>
        </w:numPr>
        <w:ind w:left="1134" w:hanging="283"/>
        <w:jc w:val="both"/>
        <w:rPr>
          <w:rFonts w:ascii="Tahoma" w:hAnsi="Tahoma" w:cs="Tahoma"/>
          <w:sz w:val="20"/>
          <w:szCs w:val="20"/>
        </w:rPr>
      </w:pPr>
      <w:r w:rsidRPr="00C46DE3">
        <w:rPr>
          <w:rFonts w:ascii="Tahoma" w:hAnsi="Tahoma" w:cs="Tahoma"/>
          <w:sz w:val="20"/>
          <w:szCs w:val="20"/>
        </w:rPr>
        <w:t>El 18 de agosto de 2010, dentro del plazo establecido en el artículo 175 y en cumplimiento del artículo 151 del Reglamento, presentamos una solicitud de reemplazo de equipos y ampliación de plazo de entrega; proponiendo la modificación del contrato en lo pertinente de acuerdo con el artículo 143 del referido Reglamento. (sic)</w:t>
      </w:r>
    </w:p>
    <w:p w:rsidR="00C46DE3" w:rsidRPr="00C46DE3" w:rsidRDefault="00C46DE3" w:rsidP="00C46DE3">
      <w:pPr>
        <w:ind w:left="1134" w:hanging="283"/>
        <w:rPr>
          <w:rFonts w:ascii="Tahoma" w:hAnsi="Tahoma" w:cs="Tahoma"/>
          <w:sz w:val="20"/>
          <w:szCs w:val="20"/>
        </w:rPr>
      </w:pPr>
    </w:p>
    <w:p w:rsidR="00C46DE3" w:rsidRPr="00C46DE3" w:rsidRDefault="00C46DE3" w:rsidP="00C46DE3">
      <w:pPr>
        <w:numPr>
          <w:ilvl w:val="0"/>
          <w:numId w:val="24"/>
        </w:numPr>
        <w:ind w:left="1134" w:hanging="283"/>
        <w:jc w:val="both"/>
        <w:rPr>
          <w:rFonts w:ascii="Tahoma" w:hAnsi="Tahoma" w:cs="Tahoma"/>
          <w:sz w:val="20"/>
          <w:szCs w:val="20"/>
        </w:rPr>
      </w:pPr>
      <w:r w:rsidRPr="00C46DE3">
        <w:rPr>
          <w:rFonts w:ascii="Tahoma" w:hAnsi="Tahoma" w:cs="Tahoma"/>
          <w:sz w:val="20"/>
          <w:szCs w:val="20"/>
        </w:rPr>
        <w:t>Cabe precisar, que amparamos nuestro derecho, en el precitado artículo 175 del Reglamento, el cual estipula que el contratista deberá solicitar “dentro de los siete (07) días hábiles de aprobado el adicional o de finalizado el hecho generador de atraso o paralización, para cuyo caso concreto, solicitamos un plazo adicional para la entrega de los bienes, por el segundo supuesto establecido en el mencionado artículo, referido a los atrasos o paralizaciones no imputables al contratista y por caso fortuito o fuerza mayor. (sic)</w:t>
      </w:r>
    </w:p>
    <w:p w:rsidR="00C46DE3" w:rsidRPr="00C46DE3" w:rsidRDefault="00C46DE3" w:rsidP="00C46DE3">
      <w:pPr>
        <w:pStyle w:val="Prrafodelista"/>
        <w:rPr>
          <w:rFonts w:ascii="Tahoma" w:hAnsi="Tahoma" w:cs="Tahoma"/>
          <w:sz w:val="20"/>
          <w:szCs w:val="20"/>
        </w:rPr>
      </w:pPr>
    </w:p>
    <w:p w:rsidR="00C46DE3" w:rsidRPr="00C46DE3" w:rsidRDefault="00C46DE3" w:rsidP="00C46DE3">
      <w:pPr>
        <w:numPr>
          <w:ilvl w:val="0"/>
          <w:numId w:val="24"/>
        </w:numPr>
        <w:ind w:left="1134" w:hanging="283"/>
        <w:jc w:val="both"/>
        <w:rPr>
          <w:rFonts w:ascii="Tahoma" w:hAnsi="Tahoma" w:cs="Tahoma"/>
          <w:sz w:val="20"/>
          <w:szCs w:val="20"/>
        </w:rPr>
      </w:pPr>
      <w:r w:rsidRPr="00C46DE3">
        <w:rPr>
          <w:rFonts w:ascii="Tahoma" w:hAnsi="Tahoma" w:cs="Tahoma"/>
          <w:sz w:val="20"/>
          <w:szCs w:val="20"/>
        </w:rPr>
        <w:t>Asimismo, y a pesar de haber solicitado una ampliación de plazo, la Entidad declaró improcedente por extemporánea, así como por no haber presentado medio probatorio alguna que acredite el supuesto de caso fortuito o fuerza mayor; sin embargo, resulta contradictoria dicha declaración, toda vez que la Entidad tramitaba una solicitud de cambio de equipos al aérea usuaria. (sic)</w:t>
      </w:r>
    </w:p>
    <w:p w:rsidR="00C46DE3" w:rsidRPr="00C46DE3" w:rsidRDefault="00C46DE3" w:rsidP="00C46DE3">
      <w:pPr>
        <w:pStyle w:val="Prrafodelista"/>
        <w:rPr>
          <w:rFonts w:ascii="Tahoma" w:hAnsi="Tahoma" w:cs="Tahoma"/>
          <w:sz w:val="20"/>
          <w:szCs w:val="20"/>
        </w:rPr>
      </w:pPr>
    </w:p>
    <w:p w:rsidR="00C46DE3" w:rsidRPr="00C46DE3" w:rsidRDefault="00C46DE3" w:rsidP="00C46DE3">
      <w:pPr>
        <w:numPr>
          <w:ilvl w:val="0"/>
          <w:numId w:val="24"/>
        </w:numPr>
        <w:ind w:left="1134" w:hanging="283"/>
        <w:jc w:val="both"/>
        <w:rPr>
          <w:rFonts w:ascii="Tahoma" w:hAnsi="Tahoma" w:cs="Tahoma"/>
          <w:sz w:val="20"/>
          <w:szCs w:val="20"/>
        </w:rPr>
      </w:pPr>
      <w:r w:rsidRPr="00C46DE3">
        <w:rPr>
          <w:rFonts w:ascii="Tahoma" w:hAnsi="Tahoma" w:cs="Tahoma"/>
          <w:sz w:val="20"/>
          <w:szCs w:val="20"/>
        </w:rPr>
        <w:t xml:space="preserve">Al respecto, nuestra representada se acogió a lo establecido en el numeral 2, 4 y en el último párrafo del artículo 175 de la Ley, sin adjuntar documentación de </w:t>
      </w:r>
      <w:r w:rsidRPr="00C46DE3">
        <w:rPr>
          <w:rFonts w:ascii="Tahoma" w:hAnsi="Tahoma" w:cs="Tahoma"/>
          <w:sz w:val="20"/>
          <w:szCs w:val="20"/>
        </w:rPr>
        <w:lastRenderedPageBreak/>
        <w:t>sustento por encontrarnos dentro del respectivo supuesta legal, hecho que no necesitaba ser acreditado por tratarse de bienes y no de obras, ya que para el caso de obras se necesita que el caso fortuito o fuerza mayor estén debidamente comprobados, tal y como lo estipula el artículo 200 del Reglamento. (sic)</w:t>
      </w:r>
    </w:p>
    <w:p w:rsidR="00C46DE3" w:rsidRPr="00C46DE3" w:rsidRDefault="00C46DE3" w:rsidP="00C46DE3">
      <w:pPr>
        <w:pStyle w:val="Prrafodelista"/>
        <w:rPr>
          <w:rFonts w:ascii="Tahoma" w:hAnsi="Tahoma" w:cs="Tahoma"/>
          <w:sz w:val="20"/>
          <w:szCs w:val="20"/>
        </w:rPr>
      </w:pPr>
    </w:p>
    <w:p w:rsidR="00C46DE3" w:rsidRPr="00C46DE3" w:rsidRDefault="00C46DE3" w:rsidP="00C46DE3">
      <w:pPr>
        <w:numPr>
          <w:ilvl w:val="0"/>
          <w:numId w:val="24"/>
        </w:numPr>
        <w:ind w:left="1134" w:hanging="283"/>
        <w:jc w:val="both"/>
        <w:rPr>
          <w:rFonts w:ascii="Tahoma" w:hAnsi="Tahoma" w:cs="Tahoma"/>
          <w:sz w:val="20"/>
          <w:szCs w:val="20"/>
        </w:rPr>
      </w:pPr>
      <w:r w:rsidRPr="00C46DE3">
        <w:rPr>
          <w:rFonts w:ascii="Tahoma" w:hAnsi="Tahoma" w:cs="Tahoma"/>
          <w:sz w:val="20"/>
          <w:szCs w:val="20"/>
        </w:rPr>
        <w:t>Asimismo, en su momento oportuno, comunicamos a la Entidad que la causa del incumplimiento de la entrega de los equipos ofrecidos se debió a que el representante local de dichos bienes no respondía nuestra llamadas ni correos a fin de que atiendan la orden de compra, la misma que requería el cumplimiento de la entrega de los bienes propuestos en el presente proceso de selección. Por ello, optamos por informar de manera pertinente la ampliación de plazo de entrega y procedimos a la importación de equipos con mayor costo que sobrepasan las especificaciones técnicas mínimas requeridas en las Bases. (sic)</w:t>
      </w:r>
    </w:p>
    <w:p w:rsidR="00C46DE3" w:rsidRPr="00C46DE3" w:rsidRDefault="00C46DE3" w:rsidP="00C46DE3">
      <w:pPr>
        <w:pStyle w:val="Prrafodelista"/>
        <w:ind w:left="1134" w:hanging="283"/>
        <w:rPr>
          <w:rFonts w:ascii="Tahoma" w:hAnsi="Tahoma" w:cs="Tahoma"/>
          <w:sz w:val="20"/>
          <w:szCs w:val="20"/>
        </w:rPr>
      </w:pPr>
    </w:p>
    <w:p w:rsidR="00C46DE3" w:rsidRPr="00C46DE3" w:rsidRDefault="00C46DE3" w:rsidP="00C46DE3">
      <w:pPr>
        <w:numPr>
          <w:ilvl w:val="0"/>
          <w:numId w:val="24"/>
        </w:numPr>
        <w:ind w:left="1134" w:hanging="283"/>
        <w:jc w:val="both"/>
        <w:rPr>
          <w:rFonts w:ascii="Tahoma" w:hAnsi="Tahoma" w:cs="Tahoma"/>
          <w:sz w:val="20"/>
          <w:szCs w:val="20"/>
        </w:rPr>
      </w:pPr>
      <w:r w:rsidRPr="00C46DE3">
        <w:rPr>
          <w:rFonts w:ascii="Tahoma" w:hAnsi="Tahoma" w:cs="Tahoma"/>
          <w:sz w:val="20"/>
          <w:szCs w:val="20"/>
        </w:rPr>
        <w:t>Como se puede apreciar, nuestro Consorcio realizó los esfuerzos necesarios para cumplir con la entrega de los equipos de calidad superior de acuerdo con el objeto de la convocatoria, entregando para tal efecto, equipos que eran de un precio mayor y calidad superior, con certificaciones ISO 9001:2008. No obstante ello, la Entidad nos resolvió el contrato por haber acumulado la penalidad máxima de mora, sin tener en consideración que había una respuesta pendiente del área usuaria para el cambio de equipos.  (sic)</w:t>
      </w:r>
    </w:p>
    <w:p w:rsidR="00C46DE3" w:rsidRPr="00C46DE3" w:rsidRDefault="00C46DE3" w:rsidP="00C46DE3">
      <w:pPr>
        <w:pStyle w:val="Prrafodelista"/>
        <w:rPr>
          <w:rFonts w:ascii="Tahoma" w:hAnsi="Tahoma" w:cs="Tahoma"/>
          <w:sz w:val="20"/>
          <w:szCs w:val="20"/>
        </w:rPr>
      </w:pPr>
    </w:p>
    <w:p w:rsidR="00C46DE3" w:rsidRPr="00C46DE3" w:rsidRDefault="00C46DE3" w:rsidP="00C46DE3">
      <w:pPr>
        <w:numPr>
          <w:ilvl w:val="0"/>
          <w:numId w:val="24"/>
        </w:numPr>
        <w:ind w:left="1134" w:hanging="283"/>
        <w:jc w:val="both"/>
        <w:rPr>
          <w:rFonts w:ascii="Tahoma" w:hAnsi="Tahoma" w:cs="Tahoma"/>
          <w:sz w:val="20"/>
          <w:szCs w:val="20"/>
        </w:rPr>
      </w:pPr>
      <w:r w:rsidRPr="00C46DE3">
        <w:rPr>
          <w:rFonts w:ascii="Tahoma" w:hAnsi="Tahoma" w:cs="Tahoma"/>
          <w:sz w:val="20"/>
          <w:szCs w:val="20"/>
        </w:rPr>
        <w:t>Sin embargo, y a pesar de que el contrato ya estaba resuelto, el 03 de septiembre de 2010, fuimos convocados para asistir a las instalaciones de la Entidad a fin de que los equipos internados en la Entidad sean sometidos a un peritaje, siendo que, hasta el momento no hemos sido informados del resultado del mencionado peritaje, vulnerando nuestro derecho de defensa, toda vez que no hemos podido presentar nuestros descargos del caso. (sic)</w:t>
      </w:r>
    </w:p>
    <w:p w:rsidR="00C46DE3" w:rsidRPr="00C46DE3" w:rsidRDefault="00C46DE3" w:rsidP="00C46DE3">
      <w:pPr>
        <w:pStyle w:val="Prrafodelista"/>
        <w:rPr>
          <w:rFonts w:ascii="Tahoma" w:hAnsi="Tahoma" w:cs="Tahoma"/>
          <w:sz w:val="20"/>
          <w:szCs w:val="20"/>
        </w:rPr>
      </w:pPr>
    </w:p>
    <w:p w:rsidR="00C46DE3" w:rsidRPr="00C46DE3" w:rsidRDefault="00C46DE3" w:rsidP="00C46DE3">
      <w:pPr>
        <w:numPr>
          <w:ilvl w:val="0"/>
          <w:numId w:val="24"/>
        </w:numPr>
        <w:ind w:left="1134" w:hanging="283"/>
        <w:jc w:val="both"/>
        <w:rPr>
          <w:rFonts w:ascii="Tahoma" w:hAnsi="Tahoma" w:cs="Tahoma"/>
          <w:sz w:val="20"/>
          <w:szCs w:val="20"/>
        </w:rPr>
      </w:pPr>
      <w:r w:rsidRPr="00C46DE3">
        <w:rPr>
          <w:rFonts w:ascii="Tahoma" w:hAnsi="Tahoma" w:cs="Tahoma"/>
          <w:sz w:val="20"/>
          <w:szCs w:val="20"/>
        </w:rPr>
        <w:t>Ahora bien, y del análisis efectuado por el perito, Ingeniero Químico Warren Reátegui Romero, el cual concluyó que las partes de la lustradora industrial tenía un recubrimiento de cromado decorativo, sin embargo, las partes que han sido devueltas a nuestra representada, sin aparentemente haber sido sometidas a examen o prueba alguna. Adicionalmente a ello, cabe señalar que luego de que las partes de la lustradora fueron devueltas, éstas no evidenciaron daño alguno al momento de ser colocadas nuevamente a la respetiva lustradora, estando en perfecto estado físico. (sic)</w:t>
      </w:r>
    </w:p>
    <w:p w:rsidR="00C46DE3" w:rsidRPr="00C46DE3" w:rsidRDefault="00C46DE3" w:rsidP="00C46DE3">
      <w:pPr>
        <w:pStyle w:val="Prrafodelista"/>
        <w:rPr>
          <w:rFonts w:ascii="Tahoma" w:hAnsi="Tahoma" w:cs="Tahoma"/>
          <w:sz w:val="20"/>
          <w:szCs w:val="20"/>
        </w:rPr>
      </w:pPr>
    </w:p>
    <w:p w:rsidR="00C46DE3" w:rsidRPr="00C46DE3" w:rsidRDefault="00C46DE3" w:rsidP="00C46DE3">
      <w:pPr>
        <w:numPr>
          <w:ilvl w:val="0"/>
          <w:numId w:val="24"/>
        </w:numPr>
        <w:ind w:left="1134" w:hanging="283"/>
        <w:jc w:val="both"/>
        <w:rPr>
          <w:rFonts w:ascii="Tahoma" w:hAnsi="Tahoma" w:cs="Tahoma"/>
          <w:sz w:val="20"/>
          <w:szCs w:val="20"/>
        </w:rPr>
      </w:pPr>
      <w:r w:rsidRPr="00C46DE3">
        <w:rPr>
          <w:rFonts w:ascii="Tahoma" w:hAnsi="Tahoma" w:cs="Tahoma"/>
          <w:sz w:val="20"/>
          <w:szCs w:val="20"/>
        </w:rPr>
        <w:t>Por otro lado, las condiciones técnicas de las Bases incluyen un requerimiento inexistente en la realidad, esto es, solicitar que el mástil de la lustradora industrial tenga como característica el “Acero Inoxidable – Vulcanizado”, siendo imposible de cumplirlo, toda vez que no se puede vulcanizar el acero, por lo que este vicio acarrea la nulidad de todo este proceso y de todas sus consecuencias directas. Dicha imposibilidad que acarrea nulidad es responsabilidad del área encargada de los requerimientos de adquisiciones de la Entidad. (sic)</w:t>
      </w:r>
    </w:p>
    <w:p w:rsidR="00C46DE3" w:rsidRPr="00C46DE3" w:rsidRDefault="00C46DE3" w:rsidP="00C46DE3">
      <w:pPr>
        <w:pStyle w:val="Prrafodelista"/>
        <w:rPr>
          <w:rFonts w:ascii="Tahoma" w:hAnsi="Tahoma" w:cs="Tahoma"/>
          <w:sz w:val="20"/>
          <w:szCs w:val="20"/>
        </w:rPr>
      </w:pPr>
    </w:p>
    <w:p w:rsidR="00C46DE3" w:rsidRPr="00C46DE3" w:rsidRDefault="00C46DE3" w:rsidP="00C46DE3">
      <w:pPr>
        <w:numPr>
          <w:ilvl w:val="0"/>
          <w:numId w:val="24"/>
        </w:numPr>
        <w:ind w:left="1134" w:hanging="283"/>
        <w:jc w:val="both"/>
        <w:rPr>
          <w:rFonts w:ascii="Tahoma" w:hAnsi="Tahoma" w:cs="Tahoma"/>
          <w:sz w:val="20"/>
          <w:szCs w:val="20"/>
        </w:rPr>
      </w:pPr>
      <w:r w:rsidRPr="00C46DE3">
        <w:rPr>
          <w:rFonts w:ascii="Tahoma" w:hAnsi="Tahoma" w:cs="Tahoma"/>
          <w:sz w:val="20"/>
          <w:szCs w:val="20"/>
        </w:rPr>
        <w:t>Finalmente, solicitaron uso de la palabra.</w:t>
      </w:r>
    </w:p>
    <w:p w:rsidR="00C46DE3" w:rsidRPr="00C46DE3" w:rsidRDefault="00C46DE3" w:rsidP="00C46DE3">
      <w:pPr>
        <w:pStyle w:val="Prrafodelista"/>
        <w:rPr>
          <w:rFonts w:ascii="Tahoma" w:hAnsi="Tahoma" w:cs="Tahoma"/>
          <w:sz w:val="20"/>
          <w:szCs w:val="20"/>
        </w:rPr>
      </w:pPr>
    </w:p>
    <w:p w:rsidR="00C46DE3" w:rsidRPr="00C46DE3" w:rsidRDefault="00C46DE3" w:rsidP="00C46DE3">
      <w:pPr>
        <w:numPr>
          <w:ilvl w:val="0"/>
          <w:numId w:val="23"/>
        </w:numPr>
        <w:ind w:left="567" w:hanging="567"/>
        <w:jc w:val="both"/>
        <w:rPr>
          <w:rFonts w:ascii="Tahoma" w:hAnsi="Tahoma" w:cs="Tahoma"/>
          <w:sz w:val="20"/>
          <w:szCs w:val="20"/>
        </w:rPr>
      </w:pPr>
      <w:r w:rsidRPr="00C46DE3">
        <w:rPr>
          <w:rFonts w:ascii="Tahoma" w:hAnsi="Tahoma" w:cs="Tahoma"/>
          <w:sz w:val="20"/>
          <w:szCs w:val="20"/>
        </w:rPr>
        <w:lastRenderedPageBreak/>
        <w:t>Mediante decreto de fecha 11 de enero de 2011, se tuvo por apersonados a los integrantes del Consorcio a la instancia administrativa, y se remitió el expediente a la Tercera Sala del Tribunal para que resolviera.</w:t>
      </w:r>
    </w:p>
    <w:p w:rsidR="00C46DE3" w:rsidRPr="00C46DE3" w:rsidRDefault="00C46DE3" w:rsidP="00C46DE3">
      <w:pPr>
        <w:ind w:left="567"/>
        <w:rPr>
          <w:rFonts w:ascii="Tahoma" w:hAnsi="Tahoma" w:cs="Tahoma"/>
          <w:sz w:val="20"/>
          <w:szCs w:val="20"/>
        </w:rPr>
      </w:pPr>
    </w:p>
    <w:p w:rsidR="00C46DE3" w:rsidRPr="00C46DE3" w:rsidRDefault="00C46DE3" w:rsidP="00C46DE3">
      <w:pPr>
        <w:numPr>
          <w:ilvl w:val="0"/>
          <w:numId w:val="23"/>
        </w:numPr>
        <w:ind w:left="567" w:hanging="567"/>
        <w:jc w:val="both"/>
        <w:rPr>
          <w:rFonts w:ascii="Tahoma" w:hAnsi="Tahoma" w:cs="Tahoma"/>
          <w:sz w:val="20"/>
          <w:szCs w:val="20"/>
        </w:rPr>
      </w:pPr>
      <w:r w:rsidRPr="00C46DE3">
        <w:rPr>
          <w:rFonts w:ascii="Tahoma" w:hAnsi="Tahoma" w:cs="Tahoma"/>
          <w:sz w:val="20"/>
          <w:szCs w:val="20"/>
          <w:lang w:val="es-ES_tradnl"/>
        </w:rPr>
        <w:t>A través del decreto de fecha 21 de enero de 2011, el Tribunal concedió el uso de la palabra en virtud a lo solicitado el Consorcio, la misma que se llevó a cabo el 27 de enero de 2010, con la participación de las empresas integrantes del Consorcio.</w:t>
      </w:r>
    </w:p>
    <w:p w:rsidR="00C46DE3" w:rsidRPr="00C46DE3" w:rsidRDefault="00C46DE3" w:rsidP="00C46DE3">
      <w:pPr>
        <w:pStyle w:val="Prrafodelista"/>
        <w:rPr>
          <w:rFonts w:ascii="Tahoma" w:hAnsi="Tahoma" w:cs="Tahoma"/>
          <w:sz w:val="20"/>
          <w:szCs w:val="20"/>
        </w:rPr>
      </w:pPr>
    </w:p>
    <w:p w:rsidR="00C46DE3" w:rsidRPr="00C46DE3" w:rsidRDefault="00C46DE3" w:rsidP="00C46DE3">
      <w:pPr>
        <w:numPr>
          <w:ilvl w:val="0"/>
          <w:numId w:val="23"/>
        </w:numPr>
        <w:ind w:left="567" w:hanging="567"/>
        <w:jc w:val="both"/>
        <w:rPr>
          <w:rFonts w:ascii="Tahoma" w:hAnsi="Tahoma" w:cs="Tahoma"/>
          <w:sz w:val="20"/>
          <w:szCs w:val="20"/>
        </w:rPr>
      </w:pPr>
      <w:r w:rsidRPr="00C46DE3">
        <w:rPr>
          <w:rFonts w:ascii="Tahoma" w:hAnsi="Tahoma" w:cs="Tahoma"/>
          <w:sz w:val="20"/>
          <w:szCs w:val="20"/>
        </w:rPr>
        <w:t xml:space="preserve">A través de los escritos №s 3 y 4 presentados el 03 y 07 de febrero de 2011, la el Consorcio amplió los argumentos vertidos en su escrito de descargos. </w:t>
      </w:r>
    </w:p>
    <w:p w:rsidR="00C46DE3" w:rsidRPr="00C46DE3" w:rsidRDefault="00C46DE3" w:rsidP="00C46DE3">
      <w:pPr>
        <w:pStyle w:val="Prrafodelista"/>
        <w:rPr>
          <w:rFonts w:ascii="Tahoma" w:hAnsi="Tahoma" w:cs="Tahoma"/>
          <w:sz w:val="20"/>
          <w:szCs w:val="20"/>
        </w:rPr>
      </w:pPr>
    </w:p>
    <w:p w:rsidR="00C46DE3" w:rsidRPr="00C46DE3" w:rsidRDefault="00C46DE3" w:rsidP="00C46DE3">
      <w:pPr>
        <w:numPr>
          <w:ilvl w:val="0"/>
          <w:numId w:val="23"/>
        </w:numPr>
        <w:ind w:left="567" w:hanging="567"/>
        <w:jc w:val="both"/>
        <w:rPr>
          <w:rFonts w:ascii="Tahoma" w:hAnsi="Tahoma" w:cs="Tahoma"/>
          <w:sz w:val="20"/>
          <w:szCs w:val="20"/>
        </w:rPr>
      </w:pPr>
      <w:r w:rsidRPr="00C46DE3">
        <w:rPr>
          <w:rFonts w:ascii="Tahoma" w:hAnsi="Tahoma" w:cs="Tahoma"/>
          <w:sz w:val="20"/>
          <w:szCs w:val="20"/>
        </w:rPr>
        <w:t>Mediante Resolución № 211-2011-TC-S3 del 09 de febrero de 2011, notificada el 14 del mismo mes y año, el Tribunal impuso a las empresas EH DATA S.A.C., ALDEX GROUP S.A.C. y SERVIGER E.I.R.L. (integrantes del Consorcio)</w:t>
      </w:r>
      <w:r w:rsidRPr="00C46DE3">
        <w:rPr>
          <w:rFonts w:ascii="Tahoma" w:hAnsi="Tahoma" w:cs="Tahoma"/>
          <w:sz w:val="20"/>
          <w:szCs w:val="20"/>
          <w:lang w:val="es-PE"/>
        </w:rPr>
        <w:t xml:space="preserve"> </w:t>
      </w:r>
      <w:r w:rsidRPr="00C46DE3">
        <w:rPr>
          <w:rFonts w:ascii="Tahoma" w:hAnsi="Tahoma" w:cs="Tahoma"/>
          <w:sz w:val="20"/>
          <w:szCs w:val="20"/>
        </w:rPr>
        <w:t xml:space="preserve">sanción administrativa de inhabilitación  temporal por el periodo de catorce (14) meses en sus derechos de participar en procesos de selección y contratar con el Estado, al haber incurrido en la infracción referida a la </w:t>
      </w:r>
      <w:r w:rsidRPr="00C46DE3">
        <w:rPr>
          <w:rFonts w:ascii="Tahoma" w:hAnsi="Tahoma" w:cs="Tahoma"/>
          <w:sz w:val="20"/>
          <w:szCs w:val="20"/>
          <w:lang w:val="es-ES_tradnl"/>
        </w:rPr>
        <w:t xml:space="preserve">responsabilidad </w:t>
      </w:r>
      <w:r w:rsidRPr="00C46DE3">
        <w:rPr>
          <w:rFonts w:ascii="Tahoma" w:hAnsi="Tahoma" w:cs="Tahoma"/>
          <w:sz w:val="20"/>
          <w:szCs w:val="20"/>
        </w:rPr>
        <w:t>en dar lugar a la resolución del contrato por causal atribuible a su parte, infracción tipificada en el literal b) del numeral 51.1 del artículo 51 de la Ley  en concordancia con el literal b) del numeral 1) del artículo 237 de su Reglamento</w:t>
      </w:r>
      <w:r w:rsidRPr="00C46DE3">
        <w:rPr>
          <w:rFonts w:ascii="Tahoma" w:hAnsi="Tahoma" w:cs="Tahoma"/>
          <w:bCs/>
          <w:sz w:val="20"/>
          <w:szCs w:val="20"/>
        </w:rPr>
        <w:t>.</w:t>
      </w:r>
    </w:p>
    <w:p w:rsidR="00C46DE3" w:rsidRPr="00C46DE3" w:rsidRDefault="00C46DE3" w:rsidP="00C46DE3">
      <w:pPr>
        <w:pStyle w:val="Prrafodelista"/>
        <w:rPr>
          <w:rFonts w:ascii="Tahoma" w:hAnsi="Tahoma" w:cs="Tahoma"/>
          <w:sz w:val="20"/>
          <w:szCs w:val="20"/>
        </w:rPr>
      </w:pPr>
    </w:p>
    <w:p w:rsidR="00C46DE3" w:rsidRPr="00C46DE3" w:rsidRDefault="00C46DE3" w:rsidP="00C46DE3">
      <w:pPr>
        <w:numPr>
          <w:ilvl w:val="0"/>
          <w:numId w:val="23"/>
        </w:numPr>
        <w:ind w:left="567" w:hanging="567"/>
        <w:jc w:val="both"/>
        <w:rPr>
          <w:rFonts w:ascii="Tahoma" w:hAnsi="Tahoma" w:cs="Tahoma"/>
          <w:sz w:val="20"/>
          <w:szCs w:val="20"/>
        </w:rPr>
      </w:pPr>
      <w:r w:rsidRPr="00C46DE3">
        <w:rPr>
          <w:rFonts w:ascii="Tahoma" w:hAnsi="Tahoma" w:cs="Tahoma"/>
          <w:sz w:val="20"/>
          <w:szCs w:val="20"/>
        </w:rPr>
        <w:t>A través de los escritos presentados el 21 y 22 de febrero de 2011, el representante común del Consorcio interpuso recurso de reconsideración contra la Resolución № 211-2011-TC-S3 y solicitó al Tribunal resuelva con arreglo a Ley, por los argumentos contenidos en dicho recurso.</w:t>
      </w:r>
    </w:p>
    <w:p w:rsidR="00C46DE3" w:rsidRPr="00C46DE3" w:rsidRDefault="00C46DE3" w:rsidP="00C46DE3">
      <w:pPr>
        <w:pStyle w:val="Prrafodelista"/>
        <w:rPr>
          <w:rFonts w:ascii="Tahoma" w:hAnsi="Tahoma" w:cs="Tahoma"/>
          <w:sz w:val="20"/>
          <w:szCs w:val="20"/>
        </w:rPr>
      </w:pPr>
    </w:p>
    <w:p w:rsidR="00C46DE3" w:rsidRPr="00C46DE3" w:rsidRDefault="00C46DE3" w:rsidP="00C46DE3">
      <w:pPr>
        <w:numPr>
          <w:ilvl w:val="0"/>
          <w:numId w:val="23"/>
        </w:numPr>
        <w:ind w:left="567" w:hanging="567"/>
        <w:jc w:val="both"/>
        <w:rPr>
          <w:rFonts w:ascii="Tahoma" w:hAnsi="Tahoma" w:cs="Tahoma"/>
          <w:sz w:val="20"/>
          <w:szCs w:val="20"/>
        </w:rPr>
      </w:pPr>
      <w:r w:rsidRPr="00C46DE3">
        <w:rPr>
          <w:rFonts w:ascii="Tahoma" w:hAnsi="Tahoma" w:cs="Tahoma"/>
          <w:sz w:val="20"/>
          <w:szCs w:val="20"/>
        </w:rPr>
        <w:t>Mediante decreto de fecha 22 de febrero de 2011, se reasigno y remitió el presente expediente a la Primera Sala del Tribunal para que resolviera el recurso de reconsideración interpuesto por las empresas EH DATA S.A.C., ALDEX GROUP S.A.C. y SERVIGER E.I.R.L. (integrantes del Consorcio).</w:t>
      </w:r>
    </w:p>
    <w:p w:rsidR="00C46DE3" w:rsidRPr="00C46DE3" w:rsidRDefault="00C46DE3" w:rsidP="00C46DE3">
      <w:pPr>
        <w:pStyle w:val="Prrafodelista"/>
        <w:rPr>
          <w:rFonts w:ascii="Tahoma" w:hAnsi="Tahoma" w:cs="Tahoma"/>
          <w:sz w:val="20"/>
          <w:szCs w:val="20"/>
        </w:rPr>
      </w:pPr>
    </w:p>
    <w:p w:rsidR="00C46DE3" w:rsidRPr="00C46DE3" w:rsidRDefault="00C46DE3" w:rsidP="00C46DE3">
      <w:pPr>
        <w:numPr>
          <w:ilvl w:val="0"/>
          <w:numId w:val="23"/>
        </w:numPr>
        <w:ind w:left="567" w:hanging="567"/>
        <w:jc w:val="both"/>
        <w:rPr>
          <w:rFonts w:ascii="Tahoma" w:hAnsi="Tahoma" w:cs="Tahoma"/>
          <w:sz w:val="20"/>
          <w:szCs w:val="20"/>
        </w:rPr>
      </w:pPr>
      <w:r w:rsidRPr="00C46DE3">
        <w:rPr>
          <w:rFonts w:ascii="Tahoma" w:hAnsi="Tahoma" w:cs="Tahoma"/>
          <w:sz w:val="20"/>
          <w:szCs w:val="20"/>
        </w:rPr>
        <w:t>El 04 de marzo de 2011, se realizó la diligencia de Audiencia Pública con intervención del representante del Consorcio.</w:t>
      </w:r>
    </w:p>
    <w:p w:rsidR="00C46DE3" w:rsidRPr="00C46DE3" w:rsidRDefault="00C46DE3" w:rsidP="00C46DE3">
      <w:pPr>
        <w:pStyle w:val="Prrafodelista"/>
        <w:rPr>
          <w:rFonts w:ascii="Tahoma" w:hAnsi="Tahoma" w:cs="Tahoma"/>
          <w:sz w:val="20"/>
          <w:szCs w:val="20"/>
        </w:rPr>
      </w:pPr>
    </w:p>
    <w:p w:rsidR="00C46DE3" w:rsidRPr="00C46DE3" w:rsidRDefault="00C46DE3" w:rsidP="00C46DE3">
      <w:pPr>
        <w:numPr>
          <w:ilvl w:val="0"/>
          <w:numId w:val="23"/>
        </w:numPr>
        <w:ind w:left="567" w:hanging="567"/>
        <w:jc w:val="both"/>
        <w:rPr>
          <w:rFonts w:ascii="Tahoma" w:hAnsi="Tahoma" w:cs="Tahoma"/>
          <w:sz w:val="20"/>
          <w:szCs w:val="20"/>
        </w:rPr>
      </w:pPr>
      <w:r w:rsidRPr="00C46DE3">
        <w:rPr>
          <w:rFonts w:ascii="Tahoma" w:hAnsi="Tahoma" w:cs="Tahoma"/>
          <w:sz w:val="20"/>
          <w:szCs w:val="20"/>
        </w:rPr>
        <w:t>A través del escrito presentado el 07 de marzo de 2011, el Consorcio presentó sus alegatos finales.</w:t>
      </w:r>
    </w:p>
    <w:p w:rsidR="00A460D5" w:rsidRPr="00C46DE3" w:rsidRDefault="00A460D5" w:rsidP="00986843">
      <w:pPr>
        <w:tabs>
          <w:tab w:val="left" w:pos="567"/>
        </w:tabs>
        <w:ind w:left="567" w:right="-2"/>
        <w:jc w:val="both"/>
        <w:rPr>
          <w:rFonts w:ascii="Tahoma" w:hAnsi="Tahoma" w:cs="Tahoma"/>
          <w:sz w:val="20"/>
          <w:szCs w:val="20"/>
        </w:rPr>
      </w:pPr>
    </w:p>
    <w:p w:rsidR="00711297" w:rsidRPr="00C46DE3" w:rsidRDefault="00711297" w:rsidP="00986843">
      <w:pPr>
        <w:jc w:val="both"/>
        <w:rPr>
          <w:rFonts w:ascii="Tahoma" w:hAnsi="Tahoma" w:cs="Tahoma"/>
          <w:b/>
          <w:sz w:val="20"/>
          <w:szCs w:val="20"/>
        </w:rPr>
      </w:pPr>
      <w:r w:rsidRPr="00C46DE3">
        <w:rPr>
          <w:rFonts w:ascii="Tahoma" w:hAnsi="Tahoma" w:cs="Tahoma"/>
          <w:b/>
          <w:sz w:val="20"/>
          <w:szCs w:val="20"/>
        </w:rPr>
        <w:t>FUNDAMENTACIÓN:</w:t>
      </w:r>
    </w:p>
    <w:p w:rsidR="00711297" w:rsidRPr="00C46DE3" w:rsidRDefault="00711297" w:rsidP="00986843">
      <w:pPr>
        <w:jc w:val="both"/>
        <w:rPr>
          <w:rFonts w:ascii="Tahoma" w:hAnsi="Tahoma" w:cs="Tahoma"/>
          <w:b/>
          <w:sz w:val="20"/>
          <w:szCs w:val="20"/>
        </w:rPr>
      </w:pPr>
    </w:p>
    <w:p w:rsidR="00C46DE3" w:rsidRPr="00C46DE3" w:rsidRDefault="00C46DE3" w:rsidP="00C46DE3">
      <w:pPr>
        <w:pStyle w:val="Textoindependiente"/>
        <w:widowControl w:val="0"/>
        <w:numPr>
          <w:ilvl w:val="0"/>
          <w:numId w:val="5"/>
        </w:numPr>
        <w:tabs>
          <w:tab w:val="clear" w:pos="720"/>
          <w:tab w:val="num" w:pos="567"/>
        </w:tabs>
        <w:suppressAutoHyphens/>
        <w:spacing w:after="0"/>
        <w:ind w:left="567" w:hanging="567"/>
        <w:jc w:val="both"/>
        <w:rPr>
          <w:rFonts w:ascii="Tahoma" w:hAnsi="Tahoma" w:cs="Tahoma"/>
          <w:sz w:val="20"/>
          <w:szCs w:val="20"/>
        </w:rPr>
      </w:pPr>
      <w:r w:rsidRPr="00C46DE3">
        <w:rPr>
          <w:rFonts w:ascii="Tahoma" w:hAnsi="Tahoma" w:cs="Tahoma"/>
          <w:sz w:val="20"/>
          <w:szCs w:val="20"/>
        </w:rPr>
        <w:t>El recurso de reconsideración en los procedimientos administrativos sancionadores a cargo del Tribunal ha sido regulado en el artículo 249 del Reglamento de la Ley de Contrataciones del Estado aprobado mediante Decreto Supremo № 184-2008-EF, en lo sucesivo el Reglamento, a cuyo tenor aquél debe ser interpuesto dentro de los cinco (5) días hábiles siguientes de la notificación de la resolución que impone la sanción y resuelto en el término de quince (15) días hábiles desde su presentación o subsanación.</w:t>
      </w:r>
    </w:p>
    <w:p w:rsidR="00C46DE3" w:rsidRPr="00C46DE3" w:rsidRDefault="00C46DE3" w:rsidP="00C46DE3">
      <w:pPr>
        <w:pStyle w:val="Textoindependiente"/>
        <w:widowControl w:val="0"/>
        <w:suppressAutoHyphens/>
        <w:ind w:left="567"/>
        <w:rPr>
          <w:rFonts w:ascii="Tahoma" w:hAnsi="Tahoma" w:cs="Tahoma"/>
          <w:sz w:val="20"/>
          <w:szCs w:val="20"/>
        </w:rPr>
      </w:pPr>
    </w:p>
    <w:p w:rsidR="00C46DE3" w:rsidRPr="00C46DE3" w:rsidRDefault="00C46DE3" w:rsidP="00C46DE3">
      <w:pPr>
        <w:pStyle w:val="Textoindependiente"/>
        <w:widowControl w:val="0"/>
        <w:numPr>
          <w:ilvl w:val="0"/>
          <w:numId w:val="5"/>
        </w:numPr>
        <w:tabs>
          <w:tab w:val="clear" w:pos="720"/>
          <w:tab w:val="num" w:pos="567"/>
        </w:tabs>
        <w:suppressAutoHyphens/>
        <w:spacing w:after="0"/>
        <w:ind w:left="567" w:hanging="567"/>
        <w:jc w:val="both"/>
        <w:rPr>
          <w:rFonts w:ascii="Tahoma" w:hAnsi="Tahoma" w:cs="Tahoma"/>
          <w:sz w:val="20"/>
          <w:szCs w:val="20"/>
        </w:rPr>
      </w:pPr>
      <w:r w:rsidRPr="00C46DE3">
        <w:rPr>
          <w:rFonts w:ascii="Tahoma" w:hAnsi="Tahoma" w:cs="Tahoma"/>
          <w:sz w:val="20"/>
          <w:szCs w:val="20"/>
        </w:rPr>
        <w:t>En el caso de autos, las empresas EH DATA S.A.C., ALDEX GROUP S.A.C. y SERVIGER E.I.R.L. han interpuesto recurso de reconsideración contra la Resolución № 211-2011-</w:t>
      </w:r>
      <w:r w:rsidRPr="00C46DE3">
        <w:rPr>
          <w:rFonts w:ascii="Tahoma" w:hAnsi="Tahoma" w:cs="Tahoma"/>
          <w:sz w:val="20"/>
          <w:szCs w:val="20"/>
        </w:rPr>
        <w:lastRenderedPageBreak/>
        <w:t>TC-S3, mediante la cual el Tribunal les impuso sanción administrativa de inhabilitación temporal en sus derechos para participar en procesos de selección y contratar con el Estado, por el periodo de catorce (14) meses, al haberse determinado su responsabilidad en la comisión de la infracción tipificada en el literal b) del numeral 51.1 del artículo 51 de la Ley en concordancia con el literal b) del numeral 1) del artículo 237 de su Reglamento</w:t>
      </w:r>
      <w:r w:rsidRPr="00C46DE3">
        <w:rPr>
          <w:rStyle w:val="Refdenotaalpie"/>
          <w:rFonts w:ascii="Tahoma" w:hAnsi="Tahoma" w:cs="Tahoma"/>
          <w:sz w:val="20"/>
          <w:szCs w:val="20"/>
        </w:rPr>
        <w:footnoteReference w:id="2"/>
      </w:r>
      <w:r w:rsidRPr="00C46DE3">
        <w:rPr>
          <w:rFonts w:ascii="Tahoma" w:hAnsi="Tahoma" w:cs="Tahoma"/>
          <w:sz w:val="20"/>
          <w:szCs w:val="20"/>
        </w:rPr>
        <w:t>.</w:t>
      </w:r>
    </w:p>
    <w:p w:rsidR="00C46DE3" w:rsidRPr="00C46DE3" w:rsidRDefault="00C46DE3" w:rsidP="00C46DE3">
      <w:pPr>
        <w:pStyle w:val="Prrafodelista"/>
        <w:ind w:left="1134"/>
        <w:rPr>
          <w:rFonts w:ascii="Tahoma" w:hAnsi="Tahoma" w:cs="Tahoma"/>
          <w:sz w:val="20"/>
          <w:szCs w:val="20"/>
        </w:rPr>
      </w:pPr>
    </w:p>
    <w:p w:rsidR="00C46DE3" w:rsidRPr="00C46DE3" w:rsidRDefault="00C46DE3" w:rsidP="00C46DE3">
      <w:pPr>
        <w:pStyle w:val="Textoindependiente"/>
        <w:widowControl w:val="0"/>
        <w:numPr>
          <w:ilvl w:val="0"/>
          <w:numId w:val="5"/>
        </w:numPr>
        <w:tabs>
          <w:tab w:val="clear" w:pos="720"/>
          <w:tab w:val="num" w:pos="567"/>
        </w:tabs>
        <w:suppressAutoHyphens/>
        <w:spacing w:after="0"/>
        <w:ind w:left="567" w:hanging="567"/>
        <w:jc w:val="both"/>
        <w:rPr>
          <w:rFonts w:ascii="Tahoma" w:hAnsi="Tahoma" w:cs="Tahoma"/>
          <w:sz w:val="20"/>
          <w:szCs w:val="20"/>
        </w:rPr>
      </w:pPr>
      <w:r w:rsidRPr="00C46DE3">
        <w:rPr>
          <w:rFonts w:ascii="Tahoma" w:hAnsi="Tahoma" w:cs="Tahoma"/>
          <w:sz w:val="20"/>
          <w:szCs w:val="20"/>
        </w:rPr>
        <w:t>Previamente este Colegiado debe analizar si el recurso materia de análisis ha sido interpuesto oportunamente, es decir dentro del plazo señalado expresamente en la normativa precitada.</w:t>
      </w:r>
    </w:p>
    <w:p w:rsidR="00C46DE3" w:rsidRPr="00C46DE3" w:rsidRDefault="00C46DE3" w:rsidP="00C46DE3">
      <w:pPr>
        <w:pStyle w:val="Prrafodelista"/>
        <w:ind w:left="1134"/>
        <w:rPr>
          <w:rFonts w:ascii="Tahoma" w:hAnsi="Tahoma" w:cs="Tahoma"/>
          <w:sz w:val="20"/>
          <w:szCs w:val="20"/>
        </w:rPr>
      </w:pPr>
    </w:p>
    <w:p w:rsidR="00C46DE3" w:rsidRPr="00C46DE3" w:rsidRDefault="00C46DE3" w:rsidP="00C46DE3">
      <w:pPr>
        <w:pStyle w:val="Textoindependiente"/>
        <w:widowControl w:val="0"/>
        <w:numPr>
          <w:ilvl w:val="0"/>
          <w:numId w:val="5"/>
        </w:numPr>
        <w:tabs>
          <w:tab w:val="clear" w:pos="720"/>
          <w:tab w:val="num" w:pos="567"/>
        </w:tabs>
        <w:suppressAutoHyphens/>
        <w:spacing w:after="0"/>
        <w:ind w:left="567" w:hanging="567"/>
        <w:jc w:val="both"/>
        <w:rPr>
          <w:rFonts w:ascii="Tahoma" w:hAnsi="Tahoma" w:cs="Tahoma"/>
          <w:sz w:val="20"/>
          <w:szCs w:val="20"/>
        </w:rPr>
      </w:pPr>
      <w:r w:rsidRPr="00C46DE3">
        <w:rPr>
          <w:rFonts w:ascii="Tahoma" w:hAnsi="Tahoma" w:cs="Tahoma"/>
          <w:sz w:val="20"/>
          <w:szCs w:val="20"/>
        </w:rPr>
        <w:t>En el presente caso, se ha verificado que la Resolución № 211-2011-TC-S3 fue notificada al Postor el 14 de febrero de 2011 y el recurso de reconsideración fue ingresado a Mesa de Partes del Tribunal el 21 del mismo mes y año, por lo que dicho recurso interpuesto por el impugnante se realizó dentro del plazo previsto en el artículo 249 del Reglamento.</w:t>
      </w:r>
    </w:p>
    <w:p w:rsidR="00C46DE3" w:rsidRPr="00C46DE3" w:rsidRDefault="00C46DE3" w:rsidP="00C46DE3">
      <w:pPr>
        <w:pStyle w:val="Prrafodelista"/>
        <w:ind w:left="1134"/>
        <w:rPr>
          <w:rFonts w:ascii="Tahoma" w:hAnsi="Tahoma" w:cs="Tahoma"/>
          <w:sz w:val="20"/>
          <w:szCs w:val="20"/>
        </w:rPr>
      </w:pPr>
    </w:p>
    <w:p w:rsidR="00C46DE3" w:rsidRPr="00C46DE3" w:rsidRDefault="00C46DE3" w:rsidP="00C46DE3">
      <w:pPr>
        <w:pStyle w:val="Textoindependiente"/>
        <w:widowControl w:val="0"/>
        <w:numPr>
          <w:ilvl w:val="0"/>
          <w:numId w:val="5"/>
        </w:numPr>
        <w:tabs>
          <w:tab w:val="clear" w:pos="720"/>
          <w:tab w:val="num" w:pos="567"/>
        </w:tabs>
        <w:suppressAutoHyphens/>
        <w:spacing w:after="0"/>
        <w:ind w:left="567" w:hanging="567"/>
        <w:jc w:val="both"/>
        <w:rPr>
          <w:rFonts w:ascii="Tahoma" w:hAnsi="Tahoma" w:cs="Tahoma"/>
          <w:sz w:val="20"/>
          <w:szCs w:val="20"/>
        </w:rPr>
      </w:pPr>
      <w:r w:rsidRPr="00C46DE3">
        <w:rPr>
          <w:rFonts w:ascii="Tahoma" w:hAnsi="Tahoma" w:cs="Tahoma"/>
          <w:sz w:val="20"/>
          <w:szCs w:val="20"/>
        </w:rPr>
        <w:t>En el presente recurso de reconsideración, las empresas EH DATA S.A.C., ALDEX GROUP S.A.C. y SERVIGER E.I.R.L. (integrantes del Consorcio) han reiterado algunos argumentos vertidos en su inicial escrito de descargos y, a su vez, ha señalado otros. En tal medida, resulta conveniente emitir pronunciamiento respecto de cada uno de los cuestionamientos planteados en el recurso que nos ocupa y verificar si se han aportado nuevos elementos de juicio que permitan al Tribunal modificar la decisión que adoptó en la resolución recurrida.</w:t>
      </w:r>
    </w:p>
    <w:p w:rsidR="00C46DE3" w:rsidRPr="00C46DE3" w:rsidRDefault="00C46DE3" w:rsidP="00C46DE3">
      <w:pPr>
        <w:pStyle w:val="Prrafodelista"/>
        <w:ind w:left="1134"/>
        <w:rPr>
          <w:rFonts w:ascii="Tahoma" w:hAnsi="Tahoma" w:cs="Tahoma"/>
          <w:sz w:val="20"/>
          <w:szCs w:val="20"/>
        </w:rPr>
      </w:pPr>
    </w:p>
    <w:p w:rsidR="00C46DE3" w:rsidRPr="00C46DE3" w:rsidRDefault="00C46DE3" w:rsidP="00C46DE3">
      <w:pPr>
        <w:pStyle w:val="Textoindependiente"/>
        <w:widowControl w:val="0"/>
        <w:numPr>
          <w:ilvl w:val="0"/>
          <w:numId w:val="5"/>
        </w:numPr>
        <w:tabs>
          <w:tab w:val="clear" w:pos="720"/>
          <w:tab w:val="num" w:pos="567"/>
        </w:tabs>
        <w:suppressAutoHyphens/>
        <w:spacing w:after="0"/>
        <w:ind w:left="567" w:hanging="567"/>
        <w:jc w:val="both"/>
        <w:rPr>
          <w:rFonts w:ascii="Tahoma" w:hAnsi="Tahoma" w:cs="Tahoma"/>
          <w:sz w:val="20"/>
          <w:szCs w:val="20"/>
        </w:rPr>
      </w:pPr>
      <w:r w:rsidRPr="00C46DE3">
        <w:rPr>
          <w:rFonts w:ascii="Tahoma" w:hAnsi="Tahoma" w:cs="Tahoma"/>
          <w:sz w:val="20"/>
          <w:szCs w:val="20"/>
        </w:rPr>
        <w:t>El Consorcio ha fundamentado su recurso de reconsideración bajo los siguientes argumentos:</w:t>
      </w:r>
    </w:p>
    <w:p w:rsidR="00C46DE3" w:rsidRPr="00C46DE3" w:rsidRDefault="00C46DE3" w:rsidP="00C46DE3">
      <w:pPr>
        <w:pStyle w:val="Prrafodelista"/>
        <w:ind w:left="1134"/>
        <w:rPr>
          <w:rFonts w:ascii="Tahoma" w:hAnsi="Tahoma" w:cs="Tahoma"/>
          <w:sz w:val="20"/>
          <w:szCs w:val="20"/>
        </w:rPr>
      </w:pPr>
    </w:p>
    <w:p w:rsidR="00C46DE3" w:rsidRPr="00C46DE3" w:rsidRDefault="00C46DE3" w:rsidP="00C46DE3">
      <w:pPr>
        <w:numPr>
          <w:ilvl w:val="0"/>
          <w:numId w:val="25"/>
        </w:numPr>
        <w:ind w:left="1134" w:hanging="283"/>
        <w:jc w:val="both"/>
        <w:rPr>
          <w:rFonts w:ascii="Tahoma" w:hAnsi="Tahoma" w:cs="Tahoma"/>
          <w:sz w:val="20"/>
          <w:szCs w:val="20"/>
        </w:rPr>
      </w:pPr>
      <w:r w:rsidRPr="00C46DE3">
        <w:rPr>
          <w:rFonts w:ascii="Tahoma" w:hAnsi="Tahoma" w:cs="Tahoma"/>
          <w:sz w:val="20"/>
          <w:szCs w:val="20"/>
        </w:rPr>
        <w:t>El incumplimiento del plazo en la entrega de bienes según el Contrato № 09-2010-ADP-MP-FN-GG-GECLOG amerita sanción siempre el mismo haya sido injustificado; dado que el artículo 175 del Reglamento permite solicitar válidamente una ampliación dentro del plazo debido y por los supuestos establecidos en la norma acotada, dicho lo cual, está acreditado en el expediente que nuestro consorcio oportunamente solicito una ampliación de plazo para internar los bienes, invocando la demora por causa de terceros, según el numeral 4 del artículo 175 del Reglamento. (sic)</w:t>
      </w:r>
    </w:p>
    <w:p w:rsidR="00C46DE3" w:rsidRPr="00C46DE3" w:rsidRDefault="00C46DE3" w:rsidP="00C46DE3">
      <w:pPr>
        <w:ind w:left="1134" w:hanging="283"/>
        <w:rPr>
          <w:rFonts w:ascii="Tahoma" w:hAnsi="Tahoma" w:cs="Tahoma"/>
          <w:sz w:val="20"/>
          <w:szCs w:val="20"/>
        </w:rPr>
      </w:pPr>
    </w:p>
    <w:p w:rsidR="00C46DE3" w:rsidRPr="00C46DE3" w:rsidRDefault="00C46DE3" w:rsidP="00C46DE3">
      <w:pPr>
        <w:numPr>
          <w:ilvl w:val="0"/>
          <w:numId w:val="25"/>
        </w:numPr>
        <w:ind w:left="1134" w:hanging="283"/>
        <w:jc w:val="both"/>
        <w:rPr>
          <w:rFonts w:ascii="Tahoma" w:hAnsi="Tahoma" w:cs="Tahoma"/>
          <w:sz w:val="20"/>
          <w:szCs w:val="20"/>
        </w:rPr>
      </w:pPr>
      <w:r w:rsidRPr="00C46DE3">
        <w:rPr>
          <w:rFonts w:ascii="Tahoma" w:hAnsi="Tahoma" w:cs="Tahoma"/>
          <w:sz w:val="20"/>
          <w:szCs w:val="20"/>
        </w:rPr>
        <w:t>Sin embargo, la Entidad declaró la improcedencia de nuestra solicitud de ampliación de plazo, toda vez que no presentamos sustento probatorio de la circunstancia invocada; no obstante ello, la presentación de pruebas de justificación al momento de presentar la solicitud de ampliación de plazo no es un requisito fijado en el artículo 175 del Reglamento; como sí lo establece expresamente el artículo 200 del Reglamento.</w:t>
      </w:r>
    </w:p>
    <w:p w:rsidR="00C46DE3" w:rsidRPr="00C46DE3" w:rsidRDefault="00C46DE3" w:rsidP="00C46DE3">
      <w:pPr>
        <w:pStyle w:val="Prrafodelista"/>
        <w:rPr>
          <w:rFonts w:ascii="Tahoma" w:hAnsi="Tahoma" w:cs="Tahoma"/>
          <w:sz w:val="20"/>
          <w:szCs w:val="20"/>
        </w:rPr>
      </w:pPr>
    </w:p>
    <w:p w:rsidR="00C46DE3" w:rsidRPr="00C46DE3" w:rsidRDefault="00C46DE3" w:rsidP="00C46DE3">
      <w:pPr>
        <w:numPr>
          <w:ilvl w:val="0"/>
          <w:numId w:val="25"/>
        </w:numPr>
        <w:ind w:left="1134" w:hanging="283"/>
        <w:jc w:val="both"/>
        <w:rPr>
          <w:rFonts w:ascii="Tahoma" w:hAnsi="Tahoma" w:cs="Tahoma"/>
          <w:sz w:val="20"/>
          <w:szCs w:val="20"/>
        </w:rPr>
      </w:pPr>
      <w:r w:rsidRPr="00C46DE3">
        <w:rPr>
          <w:rFonts w:ascii="Tahoma" w:hAnsi="Tahoma" w:cs="Tahoma"/>
          <w:sz w:val="20"/>
          <w:szCs w:val="20"/>
        </w:rPr>
        <w:lastRenderedPageBreak/>
        <w:t>Por ello, mi representada no incumplió injustificadamente sus obligaciones contractuales ni legales, por lo que no era aplicable la resolución contractual prescrita en la normativa de la materia. (sic)</w:t>
      </w:r>
    </w:p>
    <w:p w:rsidR="00C46DE3" w:rsidRPr="00C46DE3" w:rsidRDefault="00C46DE3" w:rsidP="00C46DE3">
      <w:pPr>
        <w:pStyle w:val="Prrafodelista"/>
        <w:rPr>
          <w:rFonts w:ascii="Tahoma" w:hAnsi="Tahoma" w:cs="Tahoma"/>
          <w:sz w:val="20"/>
          <w:szCs w:val="20"/>
        </w:rPr>
      </w:pPr>
    </w:p>
    <w:p w:rsidR="00C46DE3" w:rsidRPr="00C46DE3" w:rsidRDefault="00C46DE3" w:rsidP="00C46DE3">
      <w:pPr>
        <w:numPr>
          <w:ilvl w:val="0"/>
          <w:numId w:val="25"/>
        </w:numPr>
        <w:ind w:left="1134" w:hanging="283"/>
        <w:jc w:val="both"/>
        <w:rPr>
          <w:rFonts w:ascii="Tahoma" w:hAnsi="Tahoma" w:cs="Tahoma"/>
          <w:sz w:val="20"/>
          <w:szCs w:val="20"/>
        </w:rPr>
      </w:pPr>
      <w:r w:rsidRPr="00C46DE3">
        <w:rPr>
          <w:rFonts w:ascii="Tahoma" w:hAnsi="Tahoma" w:cs="Tahoma"/>
          <w:sz w:val="20"/>
          <w:szCs w:val="20"/>
        </w:rPr>
        <w:t>Asimismo, la sanción impuesta se baso en que la justificación brindada por el Consorcio respecto a la entrega de los bienes se había visto impedida debido a problemas que tenía con su proveedor, dichas situaciones empezaron con posterioridad a la presentación de la propuesta; no antes, como se evidencia en el expediente, toda vez que era imposible prever o adivinar antes de presentar la propuesta que surgirían inconvenientes con el proveedor.  (sic)</w:t>
      </w:r>
    </w:p>
    <w:p w:rsidR="00C46DE3" w:rsidRPr="00C46DE3" w:rsidRDefault="00C46DE3" w:rsidP="00C46DE3">
      <w:pPr>
        <w:pStyle w:val="Prrafodelista"/>
        <w:rPr>
          <w:rFonts w:ascii="Tahoma" w:hAnsi="Tahoma" w:cs="Tahoma"/>
          <w:sz w:val="20"/>
          <w:szCs w:val="20"/>
        </w:rPr>
      </w:pPr>
    </w:p>
    <w:p w:rsidR="00C46DE3" w:rsidRPr="00C46DE3" w:rsidRDefault="00C46DE3" w:rsidP="00C46DE3">
      <w:pPr>
        <w:numPr>
          <w:ilvl w:val="0"/>
          <w:numId w:val="25"/>
        </w:numPr>
        <w:ind w:left="1134" w:hanging="283"/>
        <w:jc w:val="both"/>
        <w:rPr>
          <w:rFonts w:ascii="Tahoma" w:hAnsi="Tahoma" w:cs="Tahoma"/>
          <w:sz w:val="20"/>
          <w:szCs w:val="20"/>
        </w:rPr>
      </w:pPr>
      <w:r w:rsidRPr="00C46DE3">
        <w:rPr>
          <w:rFonts w:ascii="Tahoma" w:hAnsi="Tahoma" w:cs="Tahoma"/>
          <w:sz w:val="20"/>
          <w:szCs w:val="20"/>
        </w:rPr>
        <w:t>Conforme obra en autos, luego del otorgamiento de la Buena Pro, mi representada formalizó el pedido correspondiente con el proveedor a través de la Orden de Compra de fecha 01 de julio de 2010, por lo que el Reglamento ha contemplado expresamente el supuesto de que de manera justificada puedan surgir inconvenientes no sólo después de la presentación de propuestas o del otorgamiento de la Buena Pro sino incluso después de la firma de contrato. (sic)</w:t>
      </w:r>
    </w:p>
    <w:p w:rsidR="00C46DE3" w:rsidRPr="00C46DE3" w:rsidRDefault="00C46DE3" w:rsidP="00C46DE3">
      <w:pPr>
        <w:pStyle w:val="Prrafodelista"/>
        <w:rPr>
          <w:rFonts w:ascii="Tahoma" w:hAnsi="Tahoma" w:cs="Tahoma"/>
          <w:sz w:val="20"/>
          <w:szCs w:val="20"/>
        </w:rPr>
      </w:pPr>
    </w:p>
    <w:p w:rsidR="00C46DE3" w:rsidRPr="00C46DE3" w:rsidRDefault="00C46DE3" w:rsidP="00C46DE3">
      <w:pPr>
        <w:numPr>
          <w:ilvl w:val="0"/>
          <w:numId w:val="25"/>
        </w:numPr>
        <w:ind w:left="1134" w:hanging="283"/>
        <w:jc w:val="both"/>
        <w:rPr>
          <w:rFonts w:ascii="Tahoma" w:hAnsi="Tahoma" w:cs="Tahoma"/>
          <w:sz w:val="20"/>
          <w:szCs w:val="20"/>
        </w:rPr>
      </w:pPr>
      <w:r w:rsidRPr="00C46DE3">
        <w:rPr>
          <w:rFonts w:ascii="Tahoma" w:hAnsi="Tahoma" w:cs="Tahoma"/>
          <w:sz w:val="20"/>
          <w:szCs w:val="20"/>
        </w:rPr>
        <w:t>Asimismo, no es falta de diligencia ordinaria el no haber tenido físicamente en “stock” antes de la presentación de la propuesta los bienes ofrecidos en la misma; toda vez que mi representada tomo las acciones comerciales en ese momento, para asegurar su oportuna compra e importación de las lustradoras industriales, ya que de lo contrario no hubiéramos presentado nuestra propuesta técnica.</w:t>
      </w:r>
    </w:p>
    <w:p w:rsidR="00C46DE3" w:rsidRPr="00C46DE3" w:rsidRDefault="00C46DE3" w:rsidP="00C46DE3">
      <w:pPr>
        <w:pStyle w:val="Prrafodelista"/>
        <w:rPr>
          <w:rFonts w:ascii="Tahoma" w:hAnsi="Tahoma" w:cs="Tahoma"/>
          <w:sz w:val="20"/>
          <w:szCs w:val="20"/>
        </w:rPr>
      </w:pPr>
    </w:p>
    <w:p w:rsidR="00C46DE3" w:rsidRPr="00C46DE3" w:rsidRDefault="00C46DE3" w:rsidP="00C46DE3">
      <w:pPr>
        <w:numPr>
          <w:ilvl w:val="0"/>
          <w:numId w:val="25"/>
        </w:numPr>
        <w:ind w:left="1134" w:hanging="283"/>
        <w:jc w:val="both"/>
        <w:rPr>
          <w:rFonts w:ascii="Tahoma" w:hAnsi="Tahoma" w:cs="Tahoma"/>
          <w:sz w:val="20"/>
          <w:szCs w:val="20"/>
        </w:rPr>
      </w:pPr>
      <w:r w:rsidRPr="00C46DE3">
        <w:rPr>
          <w:rFonts w:ascii="Tahoma" w:hAnsi="Tahoma" w:cs="Tahoma"/>
          <w:sz w:val="20"/>
          <w:szCs w:val="20"/>
        </w:rPr>
        <w:t>Sobre lo expuesto, la diligencia ordinaria en este caso consistió, en un primer momento, en tratar con el proveedor la adquisición de bienes, luego del cual, el proveedor se negó inesperadamente e incomprensiblemente a entregar los equipos ofertados; sin embargo, mi representada realizó los requerimientos necesarios a fin de cumplir con la entrega de las lustradoras. (sic)</w:t>
      </w:r>
    </w:p>
    <w:p w:rsidR="00C46DE3" w:rsidRPr="00C46DE3" w:rsidRDefault="00C46DE3" w:rsidP="00C46DE3">
      <w:pPr>
        <w:pStyle w:val="Prrafodelista"/>
        <w:ind w:left="1134" w:hanging="283"/>
        <w:rPr>
          <w:rFonts w:ascii="Tahoma" w:hAnsi="Tahoma" w:cs="Tahoma"/>
          <w:sz w:val="20"/>
          <w:szCs w:val="20"/>
        </w:rPr>
      </w:pPr>
    </w:p>
    <w:p w:rsidR="00C46DE3" w:rsidRPr="00C46DE3" w:rsidRDefault="00C46DE3" w:rsidP="00C46DE3">
      <w:pPr>
        <w:numPr>
          <w:ilvl w:val="0"/>
          <w:numId w:val="25"/>
        </w:numPr>
        <w:ind w:left="1134" w:hanging="283"/>
        <w:jc w:val="both"/>
        <w:rPr>
          <w:rFonts w:ascii="Tahoma" w:hAnsi="Tahoma" w:cs="Tahoma"/>
          <w:sz w:val="20"/>
          <w:szCs w:val="20"/>
        </w:rPr>
      </w:pPr>
      <w:r w:rsidRPr="00C46DE3">
        <w:rPr>
          <w:rFonts w:ascii="Tahoma" w:hAnsi="Tahoma" w:cs="Tahoma"/>
          <w:sz w:val="20"/>
          <w:szCs w:val="20"/>
        </w:rPr>
        <w:t>No obstante ello, y ante el vencimiento del plazo, nuestro Consorcio realizó los esfuerzos necesarios para cumplir con la entrega de los equipos de calidad superior de acuerdo con el objeto de la convocatoria, entregando para tal efecto, equipos que eran de un precio mayor y calidad superior. (sic)</w:t>
      </w:r>
    </w:p>
    <w:p w:rsidR="00C46DE3" w:rsidRPr="00C46DE3" w:rsidRDefault="00C46DE3" w:rsidP="00C46DE3">
      <w:pPr>
        <w:pStyle w:val="Prrafodelista"/>
        <w:rPr>
          <w:rFonts w:ascii="Tahoma" w:hAnsi="Tahoma" w:cs="Tahoma"/>
          <w:sz w:val="20"/>
          <w:szCs w:val="20"/>
        </w:rPr>
      </w:pPr>
    </w:p>
    <w:p w:rsidR="00C46DE3" w:rsidRPr="00C46DE3" w:rsidRDefault="00C46DE3" w:rsidP="00C46DE3">
      <w:pPr>
        <w:numPr>
          <w:ilvl w:val="0"/>
          <w:numId w:val="25"/>
        </w:numPr>
        <w:ind w:left="1134" w:hanging="283"/>
        <w:jc w:val="both"/>
        <w:rPr>
          <w:rFonts w:ascii="Tahoma" w:hAnsi="Tahoma" w:cs="Tahoma"/>
          <w:sz w:val="20"/>
          <w:szCs w:val="20"/>
        </w:rPr>
      </w:pPr>
      <w:r w:rsidRPr="00C46DE3">
        <w:rPr>
          <w:rFonts w:ascii="Tahoma" w:hAnsi="Tahoma" w:cs="Tahoma"/>
          <w:sz w:val="20"/>
          <w:szCs w:val="20"/>
        </w:rPr>
        <w:t>Ahora bien, y del análisis efectuado por el perito a las lustradoras internadas, el cual concluyó que las partes de la lustradora industrial tenía un recubrimiento de cromado decorativo, sin embargo, dicho dictamen no fue puesto en conocimiento de mi representada, hecho que no permitió ejercer debida y oportunamente contradicción en sede administrativa. (sic)</w:t>
      </w:r>
    </w:p>
    <w:p w:rsidR="00C46DE3" w:rsidRPr="00C46DE3" w:rsidRDefault="00C46DE3" w:rsidP="00C46DE3">
      <w:pPr>
        <w:pStyle w:val="Prrafodelista"/>
        <w:rPr>
          <w:rFonts w:ascii="Tahoma" w:hAnsi="Tahoma" w:cs="Tahoma"/>
          <w:sz w:val="20"/>
          <w:szCs w:val="20"/>
        </w:rPr>
      </w:pPr>
    </w:p>
    <w:p w:rsidR="00C46DE3" w:rsidRPr="00C46DE3" w:rsidRDefault="00C46DE3" w:rsidP="00C46DE3">
      <w:pPr>
        <w:numPr>
          <w:ilvl w:val="0"/>
          <w:numId w:val="25"/>
        </w:numPr>
        <w:ind w:left="1134" w:hanging="283"/>
        <w:jc w:val="both"/>
        <w:rPr>
          <w:rFonts w:ascii="Tahoma" w:hAnsi="Tahoma" w:cs="Tahoma"/>
          <w:sz w:val="20"/>
          <w:szCs w:val="20"/>
        </w:rPr>
      </w:pPr>
      <w:r w:rsidRPr="00C46DE3">
        <w:rPr>
          <w:rFonts w:ascii="Tahoma" w:hAnsi="Tahoma" w:cs="Tahoma"/>
          <w:sz w:val="20"/>
          <w:szCs w:val="20"/>
        </w:rPr>
        <w:t>Finalmente, solicitó que se declare fundado su recurso de reconsideración, en todos sus extremos, y por consiguiente se deje sin efecto la sanción impuesta por el Tribunal.</w:t>
      </w:r>
    </w:p>
    <w:p w:rsidR="00C46DE3" w:rsidRPr="00C46DE3" w:rsidRDefault="00C46DE3" w:rsidP="00C46DE3">
      <w:pPr>
        <w:pStyle w:val="Prrafodelista"/>
        <w:ind w:left="1440"/>
        <w:rPr>
          <w:rFonts w:ascii="Tahoma" w:hAnsi="Tahoma" w:cs="Tahoma"/>
          <w:sz w:val="20"/>
          <w:szCs w:val="20"/>
        </w:rPr>
      </w:pPr>
    </w:p>
    <w:p w:rsidR="0077221D" w:rsidRDefault="00C46DE3" w:rsidP="0077221D">
      <w:pPr>
        <w:pStyle w:val="Prrafodelista"/>
        <w:numPr>
          <w:ilvl w:val="0"/>
          <w:numId w:val="5"/>
        </w:numPr>
        <w:tabs>
          <w:tab w:val="clear" w:pos="720"/>
          <w:tab w:val="num" w:pos="567"/>
        </w:tabs>
        <w:ind w:left="567" w:hanging="567"/>
        <w:jc w:val="both"/>
        <w:rPr>
          <w:rFonts w:ascii="Tahoma" w:hAnsi="Tahoma" w:cs="Tahoma"/>
          <w:sz w:val="20"/>
          <w:szCs w:val="20"/>
        </w:rPr>
      </w:pPr>
      <w:r w:rsidRPr="00C46DE3">
        <w:rPr>
          <w:rFonts w:ascii="Tahoma" w:hAnsi="Tahoma" w:cs="Tahoma"/>
          <w:sz w:val="20"/>
          <w:szCs w:val="20"/>
        </w:rPr>
        <w:t xml:space="preserve">En principio, para el análisis del asunto de fondo, debe tenerse en cuenta que el artículo 168 del Reglamento prescribe las causales de resolución por incumplimiento, siendo que la Entidad podrá resolver el contrato cuando el Contratista: 1) Incumpla injustificadamente obligaciones contractuales, legales o reglamentarias a su cargo, pese a </w:t>
      </w:r>
      <w:r w:rsidRPr="00C46DE3">
        <w:rPr>
          <w:rFonts w:ascii="Tahoma" w:hAnsi="Tahoma" w:cs="Tahoma"/>
          <w:sz w:val="20"/>
          <w:szCs w:val="20"/>
        </w:rPr>
        <w:lastRenderedPageBreak/>
        <w:t xml:space="preserve">haber sido requerido para ello; 2) </w:t>
      </w:r>
      <w:r w:rsidRPr="00C46DE3">
        <w:rPr>
          <w:rFonts w:ascii="Tahoma" w:hAnsi="Tahoma" w:cs="Tahoma"/>
          <w:i/>
          <w:sz w:val="20"/>
          <w:szCs w:val="20"/>
        </w:rPr>
        <w:t>Haya acumulado el monto máximo de la penalidad por mora o el monto máximo para otras penalidades, en la ejecución de la prestación a su cargo</w:t>
      </w:r>
      <w:r w:rsidRPr="00C46DE3">
        <w:rPr>
          <w:rFonts w:ascii="Tahoma" w:hAnsi="Tahoma" w:cs="Tahoma"/>
          <w:sz w:val="20"/>
          <w:szCs w:val="20"/>
        </w:rPr>
        <w:t>; y 3) Paralice o reduzca injustificadamente la ejecución de la prestación, pese a haber sido requerido para corregir tal situación.</w:t>
      </w:r>
    </w:p>
    <w:p w:rsidR="0077221D" w:rsidRDefault="0077221D" w:rsidP="0077221D">
      <w:pPr>
        <w:pStyle w:val="Prrafodelista"/>
        <w:ind w:left="567"/>
        <w:jc w:val="both"/>
        <w:rPr>
          <w:rFonts w:ascii="Tahoma" w:hAnsi="Tahoma" w:cs="Tahoma"/>
          <w:sz w:val="20"/>
          <w:szCs w:val="20"/>
        </w:rPr>
      </w:pPr>
    </w:p>
    <w:p w:rsidR="0077221D" w:rsidRDefault="00C46DE3" w:rsidP="0077221D">
      <w:pPr>
        <w:pStyle w:val="Prrafodelista"/>
        <w:ind w:left="567"/>
        <w:jc w:val="both"/>
        <w:rPr>
          <w:rFonts w:ascii="Tahoma" w:hAnsi="Tahoma" w:cs="Tahoma"/>
          <w:sz w:val="20"/>
          <w:szCs w:val="20"/>
        </w:rPr>
      </w:pPr>
      <w:r w:rsidRPr="0077221D">
        <w:rPr>
          <w:rFonts w:ascii="Tahoma" w:hAnsi="Tahoma" w:cs="Tahoma"/>
          <w:sz w:val="20"/>
          <w:szCs w:val="20"/>
        </w:rPr>
        <w:t xml:space="preserve">De los documentos obrantes en autos, este Colegiado advirtió que a través de la Carta Notarial № 24-2010-MP-FN-GG-GECLOG de fecha 02 de septiembre de 2010, diligenciada el 06 del mismo mes y año, la Entidad comunicó al Consorcio la resolución del vínculo contractual, toda vez que había </w:t>
      </w:r>
      <w:r w:rsidRPr="0077221D">
        <w:rPr>
          <w:rFonts w:ascii="Tahoma" w:hAnsi="Tahoma" w:cs="Tahoma"/>
          <w:i/>
          <w:sz w:val="20"/>
          <w:szCs w:val="20"/>
        </w:rPr>
        <w:t>llegado a acumular el máximo de penalidad por mora</w:t>
      </w:r>
      <w:r w:rsidRPr="0077221D">
        <w:rPr>
          <w:rFonts w:ascii="Tahoma" w:hAnsi="Tahoma" w:cs="Tahoma"/>
          <w:sz w:val="20"/>
          <w:szCs w:val="20"/>
        </w:rPr>
        <w:t>, causal atribuible a su parte.</w:t>
      </w:r>
    </w:p>
    <w:p w:rsidR="0077221D" w:rsidRDefault="0077221D" w:rsidP="0077221D">
      <w:pPr>
        <w:pStyle w:val="Prrafodelista"/>
        <w:ind w:left="567"/>
        <w:jc w:val="both"/>
        <w:rPr>
          <w:rFonts w:ascii="Tahoma" w:hAnsi="Tahoma" w:cs="Tahoma"/>
          <w:sz w:val="20"/>
          <w:szCs w:val="20"/>
        </w:rPr>
      </w:pPr>
    </w:p>
    <w:p w:rsidR="00C46DE3" w:rsidRDefault="00C46DE3" w:rsidP="0077221D">
      <w:pPr>
        <w:pStyle w:val="Prrafodelista"/>
        <w:ind w:left="567"/>
        <w:jc w:val="both"/>
        <w:rPr>
          <w:rFonts w:ascii="Tahoma" w:hAnsi="Tahoma" w:cs="Tahoma"/>
          <w:sz w:val="20"/>
          <w:szCs w:val="20"/>
        </w:rPr>
      </w:pPr>
      <w:r w:rsidRPr="00C46DE3">
        <w:rPr>
          <w:rFonts w:ascii="Tahoma" w:hAnsi="Tahoma" w:cs="Tahoma"/>
          <w:sz w:val="20"/>
          <w:szCs w:val="20"/>
        </w:rPr>
        <w:t xml:space="preserve">En tal sentido, se verificó en la resolución recurrida que la Entidad había observado la formalidad establecida en el artículo 168 y 169 del Reglamento, requisito indispensable de verificación del cumplimiento del debido procedimiento de resolución de contrato, a fin que la acción del Consorcio al </w:t>
      </w:r>
      <w:r w:rsidRPr="00C46DE3">
        <w:rPr>
          <w:rFonts w:ascii="Tahoma" w:hAnsi="Tahoma" w:cs="Tahoma"/>
          <w:i/>
          <w:sz w:val="20"/>
          <w:szCs w:val="20"/>
        </w:rPr>
        <w:t>haber llegado a acumular la penalidad máxima de mora</w:t>
      </w:r>
      <w:r w:rsidRPr="00C46DE3">
        <w:rPr>
          <w:rFonts w:ascii="Tahoma" w:hAnsi="Tahoma" w:cs="Tahoma"/>
          <w:sz w:val="20"/>
          <w:szCs w:val="20"/>
        </w:rPr>
        <w:t xml:space="preserve"> -que dio lugar a la resolución del contrato por causa atribuible a su parte- sea típica.</w:t>
      </w:r>
    </w:p>
    <w:p w:rsidR="0077221D" w:rsidRPr="0077221D" w:rsidRDefault="0077221D" w:rsidP="0077221D">
      <w:pPr>
        <w:jc w:val="both"/>
        <w:rPr>
          <w:rFonts w:ascii="Tahoma" w:hAnsi="Tahoma" w:cs="Tahoma"/>
          <w:sz w:val="20"/>
          <w:szCs w:val="20"/>
        </w:rPr>
      </w:pPr>
    </w:p>
    <w:p w:rsidR="00C46DE3" w:rsidRPr="00C46DE3" w:rsidRDefault="00C46DE3" w:rsidP="00C46DE3">
      <w:pPr>
        <w:pStyle w:val="Prrafodelista"/>
        <w:widowControl w:val="0"/>
        <w:numPr>
          <w:ilvl w:val="0"/>
          <w:numId w:val="5"/>
        </w:numPr>
        <w:tabs>
          <w:tab w:val="clear" w:pos="720"/>
          <w:tab w:val="num" w:pos="567"/>
        </w:tabs>
        <w:suppressAutoHyphens/>
        <w:autoSpaceDE w:val="0"/>
        <w:autoSpaceDN w:val="0"/>
        <w:adjustRightInd w:val="0"/>
        <w:ind w:left="567" w:hanging="567"/>
        <w:contextualSpacing w:val="0"/>
        <w:jc w:val="both"/>
        <w:rPr>
          <w:rFonts w:ascii="Tahoma" w:hAnsi="Tahoma" w:cs="Tahoma"/>
          <w:sz w:val="20"/>
          <w:szCs w:val="20"/>
        </w:rPr>
      </w:pPr>
      <w:r w:rsidRPr="00C46DE3">
        <w:rPr>
          <w:rFonts w:ascii="Tahoma" w:hAnsi="Tahoma" w:cs="Tahoma"/>
          <w:sz w:val="20"/>
          <w:szCs w:val="20"/>
        </w:rPr>
        <w:t>En relación a lo expuesto, los fundamentos que llevaron al Colegiado a atribuir al Consorcio responsabilidad administrativa se indicó que, se había verificado que el Consorcio no había presentado argumento alguno que desvirtué tal extremo de la denuncia, por lo que quedo claro que éste no había cumplió con internar los bienes dentro del plazo establecido en el Contrato № 09-2010-ADP-MP-FN-GG-GECLOG, más aún, se determinó que durante el trámite del presente procedimiento administrativo sancionador el Consorcio no llegó a demostrar, tampoco, que la Entidad haya incumplido sus obligaciones. Por lo tanto, el Consorcio estaba obligado a dar cumplimiento fiel a las obligaciones dentro del plazo estipulado en el contrato, deslindándose por tanto cualquier atisbo de subjetividad respecto a la resolución del contrato.</w:t>
      </w:r>
    </w:p>
    <w:p w:rsidR="00C46DE3" w:rsidRPr="00C46DE3" w:rsidRDefault="00C46DE3" w:rsidP="00C46DE3">
      <w:pPr>
        <w:pStyle w:val="Prrafodelista"/>
        <w:widowControl w:val="0"/>
        <w:suppressAutoHyphens/>
        <w:autoSpaceDE w:val="0"/>
        <w:autoSpaceDN w:val="0"/>
        <w:adjustRightInd w:val="0"/>
        <w:ind w:left="567"/>
        <w:rPr>
          <w:rFonts w:ascii="Tahoma" w:hAnsi="Tahoma" w:cs="Tahoma"/>
          <w:sz w:val="20"/>
          <w:szCs w:val="20"/>
        </w:rPr>
      </w:pPr>
    </w:p>
    <w:p w:rsidR="00C46DE3" w:rsidRPr="00C46DE3" w:rsidRDefault="00C46DE3" w:rsidP="00C46DE3">
      <w:pPr>
        <w:pStyle w:val="Prrafodelista"/>
        <w:widowControl w:val="0"/>
        <w:numPr>
          <w:ilvl w:val="0"/>
          <w:numId w:val="5"/>
        </w:numPr>
        <w:tabs>
          <w:tab w:val="clear" w:pos="720"/>
          <w:tab w:val="num" w:pos="567"/>
        </w:tabs>
        <w:suppressAutoHyphens/>
        <w:autoSpaceDE w:val="0"/>
        <w:autoSpaceDN w:val="0"/>
        <w:adjustRightInd w:val="0"/>
        <w:ind w:left="567" w:hanging="567"/>
        <w:contextualSpacing w:val="0"/>
        <w:jc w:val="both"/>
        <w:rPr>
          <w:rFonts w:ascii="Tahoma" w:hAnsi="Tahoma" w:cs="Tahoma"/>
          <w:sz w:val="20"/>
          <w:szCs w:val="20"/>
        </w:rPr>
      </w:pPr>
      <w:r w:rsidRPr="00C46DE3">
        <w:rPr>
          <w:rFonts w:ascii="Tahoma" w:hAnsi="Tahoma" w:cs="Tahoma"/>
          <w:sz w:val="20"/>
          <w:szCs w:val="20"/>
        </w:rPr>
        <w:t xml:space="preserve">Hechas tales precisiones, y en mérito a la reconsideración interpuesta por los integrantes del Consorcio, cabe señalar que, en virtud del </w:t>
      </w:r>
      <w:r w:rsidRPr="00C46DE3">
        <w:rPr>
          <w:rFonts w:ascii="Tahoma" w:hAnsi="Tahoma" w:cs="Tahoma"/>
          <w:i/>
          <w:sz w:val="20"/>
          <w:szCs w:val="20"/>
        </w:rPr>
        <w:t>Principio de Verdad Material</w:t>
      </w:r>
      <w:r w:rsidRPr="00C46DE3">
        <w:rPr>
          <w:rFonts w:ascii="Tahoma" w:hAnsi="Tahoma" w:cs="Tahoma"/>
          <w:sz w:val="20"/>
          <w:szCs w:val="20"/>
        </w:rPr>
        <w:t>, este Colegiado programó Audiencia Pública el 04 de marzo de 2011, de manera que el Consorcio pudiera ahondar en los hechos vertidos en su recurso de reconsideración, y explicar las circunstancias que le impidieron dar cumplimiento a sus obligaciones descritas en el Contrato № 09-2010-ADP-MP-FN-GG-GECLOG; en este sentido, los integrantes del Consorcio han presentado documentación mediante la cual intentan sostener que –contrario a lo indicado en la Resolución impugnada– si tuvo la suficiente diligencia para cumplir con su obligación contractual y que el incumplimiento no le es atribuible ya que este deviene de un evento fortuito o de fuerza mayor producido por su proveedor.</w:t>
      </w:r>
    </w:p>
    <w:p w:rsidR="00C46DE3" w:rsidRPr="00C46DE3" w:rsidRDefault="00C46DE3" w:rsidP="00C46DE3">
      <w:pPr>
        <w:pStyle w:val="Prrafodelista"/>
        <w:rPr>
          <w:rFonts w:ascii="Tahoma" w:hAnsi="Tahoma" w:cs="Tahoma"/>
          <w:sz w:val="20"/>
          <w:szCs w:val="20"/>
        </w:rPr>
      </w:pPr>
    </w:p>
    <w:p w:rsidR="00C46DE3" w:rsidRPr="00C46DE3" w:rsidRDefault="00C46DE3" w:rsidP="00C46DE3">
      <w:pPr>
        <w:pStyle w:val="Prrafodelista"/>
        <w:widowControl w:val="0"/>
        <w:numPr>
          <w:ilvl w:val="0"/>
          <w:numId w:val="5"/>
        </w:numPr>
        <w:tabs>
          <w:tab w:val="clear" w:pos="720"/>
          <w:tab w:val="num" w:pos="567"/>
        </w:tabs>
        <w:suppressAutoHyphens/>
        <w:autoSpaceDE w:val="0"/>
        <w:autoSpaceDN w:val="0"/>
        <w:adjustRightInd w:val="0"/>
        <w:ind w:left="567" w:hanging="567"/>
        <w:contextualSpacing w:val="0"/>
        <w:jc w:val="both"/>
        <w:rPr>
          <w:rFonts w:ascii="Tahoma" w:hAnsi="Tahoma" w:cs="Tahoma"/>
          <w:sz w:val="20"/>
          <w:szCs w:val="20"/>
        </w:rPr>
      </w:pPr>
      <w:r w:rsidRPr="00C46DE3">
        <w:rPr>
          <w:rFonts w:ascii="Tahoma" w:hAnsi="Tahoma" w:cs="Tahoma"/>
          <w:sz w:val="20"/>
          <w:szCs w:val="20"/>
        </w:rPr>
        <w:t>Sobre el particular, y con relación al argumento vertido por la Consorcio en el numeral precedente, hay que indicar que los criterios que fueron tomados en cuenta por este Colegiado cuando se les impuso la sanción de catorce (14) meses fueron los siguientes:</w:t>
      </w:r>
    </w:p>
    <w:p w:rsidR="00C46DE3" w:rsidRPr="00C46DE3" w:rsidRDefault="00C46DE3" w:rsidP="0077221D">
      <w:pPr>
        <w:pStyle w:val="Prrafodelista"/>
        <w:ind w:left="567"/>
        <w:jc w:val="both"/>
        <w:rPr>
          <w:rFonts w:ascii="Tahoma" w:hAnsi="Tahoma" w:cs="Tahoma"/>
          <w:sz w:val="20"/>
          <w:szCs w:val="20"/>
        </w:rPr>
      </w:pPr>
    </w:p>
    <w:p w:rsidR="00C46DE3" w:rsidRPr="00C46DE3" w:rsidRDefault="00C46DE3" w:rsidP="0077221D">
      <w:pPr>
        <w:pStyle w:val="Prrafodelista"/>
        <w:ind w:left="567"/>
        <w:jc w:val="both"/>
        <w:rPr>
          <w:rFonts w:ascii="Tahoma" w:hAnsi="Tahoma" w:cs="Tahoma"/>
          <w:i/>
          <w:sz w:val="20"/>
          <w:szCs w:val="20"/>
        </w:rPr>
      </w:pPr>
      <w:r w:rsidRPr="00C46DE3">
        <w:rPr>
          <w:rFonts w:ascii="Tahoma" w:hAnsi="Tahoma" w:cs="Tahoma"/>
          <w:sz w:val="20"/>
          <w:szCs w:val="20"/>
        </w:rPr>
        <w:t>“</w:t>
      </w:r>
      <w:r w:rsidRPr="00C46DE3">
        <w:rPr>
          <w:rFonts w:ascii="Tahoma" w:hAnsi="Tahoma" w:cs="Tahoma"/>
          <w:i/>
          <w:sz w:val="20"/>
          <w:szCs w:val="20"/>
        </w:rPr>
        <w:t xml:space="preserve">En ese orden de ideas, a efectos de graduar la sanción administrativa a imponerse, debe considerarse los criterios establecidos en el artículo 245 del Reglamento. </w:t>
      </w:r>
    </w:p>
    <w:p w:rsidR="00C46DE3" w:rsidRPr="00C46DE3" w:rsidRDefault="00C46DE3" w:rsidP="0077221D">
      <w:pPr>
        <w:pStyle w:val="Prrafodelista"/>
        <w:ind w:left="567"/>
        <w:jc w:val="both"/>
        <w:rPr>
          <w:rFonts w:ascii="Tahoma" w:hAnsi="Tahoma" w:cs="Tahoma"/>
          <w:i/>
          <w:sz w:val="20"/>
          <w:szCs w:val="20"/>
        </w:rPr>
      </w:pPr>
    </w:p>
    <w:p w:rsidR="00C46DE3" w:rsidRPr="00C46DE3" w:rsidRDefault="00C46DE3" w:rsidP="0077221D">
      <w:pPr>
        <w:pStyle w:val="Prrafodelista"/>
        <w:ind w:left="567"/>
        <w:jc w:val="both"/>
        <w:rPr>
          <w:rFonts w:ascii="Tahoma" w:hAnsi="Tahoma" w:cs="Tahoma"/>
          <w:i/>
          <w:sz w:val="20"/>
          <w:szCs w:val="20"/>
        </w:rPr>
      </w:pPr>
      <w:r w:rsidRPr="00C46DE3">
        <w:rPr>
          <w:rFonts w:ascii="Tahoma" w:hAnsi="Tahoma" w:cs="Tahoma"/>
          <w:i/>
          <w:sz w:val="20"/>
          <w:szCs w:val="20"/>
        </w:rPr>
        <w:t xml:space="preserve">En ese sentido, en relación con la naturaleza de la infracción cometida, es importante señalar que la conducta efectuada por las empresas integrantes del Consorcio reviste de </w:t>
      </w:r>
      <w:r w:rsidRPr="00C46DE3">
        <w:rPr>
          <w:rFonts w:ascii="Tahoma" w:hAnsi="Tahoma" w:cs="Tahoma"/>
          <w:i/>
          <w:sz w:val="20"/>
          <w:szCs w:val="20"/>
        </w:rPr>
        <w:lastRenderedPageBreak/>
        <w:t>una considerable gravedad en la medida que desde el momento en que se asumieron un compromiso contractual frente a la Entidad, aquellas se encontraban llamadas a cumplir cabalmente con lo ofrecido, máxime si es conocido que ante un eventual incumplimiento se verían seriamente afectados intereses de carácter público así como retrasado el cumplimiento de las metas institucionales de la Entidad.</w:t>
      </w:r>
    </w:p>
    <w:p w:rsidR="00C46DE3" w:rsidRPr="00C46DE3" w:rsidRDefault="00C46DE3" w:rsidP="0077221D">
      <w:pPr>
        <w:pStyle w:val="Prrafodelista"/>
        <w:ind w:left="567"/>
        <w:jc w:val="both"/>
        <w:rPr>
          <w:rFonts w:ascii="Tahoma" w:hAnsi="Tahoma" w:cs="Tahoma"/>
          <w:i/>
          <w:sz w:val="20"/>
          <w:szCs w:val="20"/>
        </w:rPr>
      </w:pPr>
    </w:p>
    <w:p w:rsidR="00C46DE3" w:rsidRPr="00C46DE3" w:rsidRDefault="00C46DE3" w:rsidP="0077221D">
      <w:pPr>
        <w:pStyle w:val="Prrafodelista"/>
        <w:ind w:left="567"/>
        <w:jc w:val="both"/>
        <w:rPr>
          <w:rFonts w:ascii="Tahoma" w:hAnsi="Tahoma" w:cs="Tahoma"/>
          <w:i/>
          <w:sz w:val="20"/>
          <w:szCs w:val="20"/>
        </w:rPr>
      </w:pPr>
      <w:r w:rsidRPr="00C46DE3">
        <w:rPr>
          <w:rFonts w:ascii="Tahoma" w:hAnsi="Tahoma" w:cs="Tahoma"/>
          <w:i/>
          <w:sz w:val="20"/>
          <w:szCs w:val="20"/>
        </w:rPr>
        <w:t xml:space="preserve">En igual sentido, en cuanto al criterio de intencionalidad del infractor, este Colegiado considera que en tanto, la conducta llevada a cabo por parte de las empresas integrantes del Consorcio consistente en la resolución del contrato, no permite a este Colegiado determinar la existencia de intencionalidad de su parte en la medida que no se ha evidenciado la consecución de un fin ulterior; </w:t>
      </w:r>
      <w:r w:rsidRPr="00C46DE3">
        <w:rPr>
          <w:rFonts w:ascii="Tahoma" w:hAnsi="Tahoma" w:cs="Tahoma"/>
          <w:b/>
          <w:i/>
          <w:sz w:val="20"/>
          <w:szCs w:val="20"/>
        </w:rPr>
        <w:t>no obstante lo cual, si resulta clara una falta de diligencia por parte de dichas empresas, toda vez que en virtud de lo dispuesto en la normativa de la materia glosada a lo largo de la presente fundamentación, las empresas integrantes del Consorcio eran los únicas  responsables de cumplir cabalmente con la ejecución del contrato suscrito</w:t>
      </w:r>
      <w:r w:rsidRPr="00C46DE3">
        <w:rPr>
          <w:rFonts w:ascii="Tahoma" w:hAnsi="Tahoma" w:cs="Tahoma"/>
          <w:i/>
          <w:sz w:val="20"/>
          <w:szCs w:val="20"/>
        </w:rPr>
        <w:t>.</w:t>
      </w:r>
    </w:p>
    <w:p w:rsidR="00C46DE3" w:rsidRPr="00C46DE3" w:rsidRDefault="00C46DE3" w:rsidP="0077221D">
      <w:pPr>
        <w:pStyle w:val="Prrafodelista"/>
        <w:ind w:left="567"/>
        <w:jc w:val="both"/>
        <w:rPr>
          <w:rFonts w:ascii="Tahoma" w:hAnsi="Tahoma" w:cs="Tahoma"/>
          <w:i/>
          <w:sz w:val="20"/>
          <w:szCs w:val="20"/>
        </w:rPr>
      </w:pPr>
    </w:p>
    <w:p w:rsidR="00C46DE3" w:rsidRPr="00C46DE3" w:rsidRDefault="00C46DE3" w:rsidP="0077221D">
      <w:pPr>
        <w:pStyle w:val="Prrafodelista"/>
        <w:ind w:left="567"/>
        <w:jc w:val="both"/>
        <w:rPr>
          <w:rFonts w:ascii="Tahoma" w:hAnsi="Tahoma" w:cs="Tahoma"/>
          <w:i/>
          <w:sz w:val="20"/>
          <w:szCs w:val="20"/>
        </w:rPr>
      </w:pPr>
      <w:r w:rsidRPr="00C46DE3">
        <w:rPr>
          <w:rFonts w:ascii="Tahoma" w:hAnsi="Tahoma" w:cs="Tahoma"/>
          <w:i/>
          <w:sz w:val="20"/>
          <w:szCs w:val="20"/>
        </w:rPr>
        <w:t>De esta manera, en lo que atañe al daño causado, es relevante tomar en cuenta, por un lado, la cuantía que subyace Contrato № 09-2010-ADP-MP-FN-GG-GECLOG, por el monto de S/. 196,047.00 nuevos soles y, por el otro, que su incumplimiento por parte de las empresas integrantes del Consorcio generó un daño a la Entidad, causando el retraso en el cumplimiento de sus objetivos, el cual había sido programado y presupuestado con anticipación.</w:t>
      </w:r>
    </w:p>
    <w:p w:rsidR="00C46DE3" w:rsidRPr="00C46DE3" w:rsidRDefault="00C46DE3" w:rsidP="0077221D">
      <w:pPr>
        <w:pStyle w:val="Prrafodelista"/>
        <w:ind w:left="567"/>
        <w:jc w:val="both"/>
        <w:rPr>
          <w:rFonts w:ascii="Tahoma" w:hAnsi="Tahoma" w:cs="Tahoma"/>
          <w:i/>
          <w:sz w:val="20"/>
          <w:szCs w:val="20"/>
        </w:rPr>
      </w:pPr>
    </w:p>
    <w:p w:rsidR="00C46DE3" w:rsidRPr="00C46DE3" w:rsidRDefault="00C46DE3" w:rsidP="0077221D">
      <w:pPr>
        <w:pStyle w:val="Prrafodelista"/>
        <w:ind w:left="567"/>
        <w:jc w:val="both"/>
        <w:rPr>
          <w:rFonts w:ascii="Tahoma" w:hAnsi="Tahoma" w:cs="Tahoma"/>
          <w:i/>
          <w:sz w:val="20"/>
          <w:szCs w:val="20"/>
        </w:rPr>
      </w:pPr>
      <w:r w:rsidRPr="00C46DE3">
        <w:rPr>
          <w:rFonts w:ascii="Tahoma" w:hAnsi="Tahoma" w:cs="Tahoma"/>
          <w:i/>
          <w:sz w:val="20"/>
          <w:szCs w:val="20"/>
        </w:rPr>
        <w:t xml:space="preserve">Sin perjuicio de lo anterior, respecto de las condiciones del infractor y de su conducta procesal durante la sustanciación del presente procedimiento administrativo sancionador, abona a favor de las infractoras la ausencia de antecedentes en la comisión de infracciones, así como que durante la sustanciación del presente procedimiento administrativo sancionador las empresas integrantes del Consorcio han efectuado la presentación de sus descargos. </w:t>
      </w:r>
    </w:p>
    <w:p w:rsidR="00C46DE3" w:rsidRPr="00C46DE3" w:rsidRDefault="00C46DE3" w:rsidP="0077221D">
      <w:pPr>
        <w:pStyle w:val="Prrafodelista"/>
        <w:ind w:left="567"/>
        <w:jc w:val="both"/>
        <w:rPr>
          <w:rFonts w:ascii="Tahoma" w:hAnsi="Tahoma" w:cs="Tahoma"/>
          <w:i/>
          <w:sz w:val="20"/>
          <w:szCs w:val="20"/>
        </w:rPr>
      </w:pPr>
    </w:p>
    <w:p w:rsidR="00C46DE3" w:rsidRPr="00C46DE3" w:rsidRDefault="00C46DE3" w:rsidP="0077221D">
      <w:pPr>
        <w:pStyle w:val="Prrafodelista"/>
        <w:ind w:left="567"/>
        <w:jc w:val="both"/>
        <w:rPr>
          <w:rFonts w:ascii="Tahoma" w:hAnsi="Tahoma" w:cs="Tahoma"/>
          <w:i/>
          <w:sz w:val="20"/>
          <w:szCs w:val="20"/>
        </w:rPr>
      </w:pPr>
      <w:r w:rsidRPr="00C46DE3">
        <w:rPr>
          <w:rFonts w:ascii="Tahoma" w:hAnsi="Tahoma" w:cs="Tahoma"/>
          <w:i/>
          <w:sz w:val="20"/>
          <w:szCs w:val="20"/>
        </w:rPr>
        <w:t xml:space="preserve">Finalmente, resulta importante traer a colación el principio de razonabilidad consagrado en el numeral 1.4 del Artículo IV del Título Preliminar de la Ley del Procedimiento Administrativo General, por medio del cual las decisiones de la autoridad administrativa que impongan sanciones o establezcan restricciones a los administrados deben adoptarse dentro de los límites de la facultad atribuida y manteniendo debida proporción entre los medios a emplear y los fines públicos que deba tutelar, a fin que respondan a lo estrictamente necesario para la satisfacción de su cometido”. </w:t>
      </w:r>
      <w:r w:rsidRPr="00C46DE3">
        <w:rPr>
          <w:rFonts w:ascii="Tahoma" w:hAnsi="Tahoma" w:cs="Tahoma"/>
          <w:sz w:val="20"/>
          <w:szCs w:val="20"/>
        </w:rPr>
        <w:t>(El resaltado es nuestro)</w:t>
      </w:r>
    </w:p>
    <w:p w:rsidR="00C46DE3" w:rsidRPr="00C46DE3" w:rsidRDefault="00C46DE3" w:rsidP="00C46DE3">
      <w:pPr>
        <w:pStyle w:val="Prrafodelista"/>
        <w:rPr>
          <w:rFonts w:ascii="Tahoma" w:hAnsi="Tahoma" w:cs="Tahoma"/>
          <w:sz w:val="20"/>
          <w:szCs w:val="20"/>
        </w:rPr>
      </w:pPr>
    </w:p>
    <w:p w:rsidR="00C46DE3" w:rsidRPr="00C46DE3" w:rsidRDefault="00C46DE3" w:rsidP="00C46DE3">
      <w:pPr>
        <w:pStyle w:val="Prrafodelista"/>
        <w:numPr>
          <w:ilvl w:val="0"/>
          <w:numId w:val="5"/>
        </w:numPr>
        <w:tabs>
          <w:tab w:val="clear" w:pos="720"/>
          <w:tab w:val="num" w:pos="567"/>
        </w:tabs>
        <w:ind w:left="567" w:hanging="567"/>
        <w:contextualSpacing w:val="0"/>
        <w:jc w:val="both"/>
        <w:rPr>
          <w:rFonts w:ascii="Tahoma" w:hAnsi="Tahoma" w:cs="Tahoma"/>
          <w:sz w:val="20"/>
          <w:szCs w:val="20"/>
          <w:lang w:eastAsia="es-PE"/>
        </w:rPr>
      </w:pPr>
      <w:r w:rsidRPr="00C46DE3">
        <w:rPr>
          <w:rFonts w:ascii="Tahoma" w:hAnsi="Tahoma" w:cs="Tahoma"/>
          <w:sz w:val="20"/>
          <w:szCs w:val="20"/>
        </w:rPr>
        <w:t xml:space="preserve">Así, pues, entre los criterios de graduación que llevaron a este Colegiado a determinar la sanción impuesta al Consorcio </w:t>
      </w:r>
      <w:r w:rsidRPr="00C46DE3">
        <w:rPr>
          <w:rFonts w:ascii="Tahoma" w:hAnsi="Tahoma" w:cs="Tahoma"/>
          <w:sz w:val="20"/>
          <w:szCs w:val="20"/>
          <w:lang w:eastAsia="es-PE"/>
        </w:rPr>
        <w:t xml:space="preserve">se baso, entre otros que los integrantes del Consorcio no fueron lo suficientemente diligentes para tomar las previsiones del caso que le permitieran conocer y, por tanto, realizar las medidas necesarias para entregar los bienes objeto del contrato, advirtiéndose un retraso injustificado. Tal afirmación, se manifestó en el numeral 52 de la resolución impugnada. </w:t>
      </w:r>
    </w:p>
    <w:p w:rsidR="00C46DE3" w:rsidRPr="00C46DE3" w:rsidRDefault="00C46DE3" w:rsidP="00C46DE3">
      <w:pPr>
        <w:pStyle w:val="Prrafodelista"/>
        <w:ind w:left="567"/>
        <w:rPr>
          <w:rFonts w:ascii="Tahoma" w:hAnsi="Tahoma" w:cs="Tahoma"/>
          <w:sz w:val="20"/>
          <w:szCs w:val="20"/>
          <w:lang w:eastAsia="es-PE"/>
        </w:rPr>
      </w:pPr>
    </w:p>
    <w:p w:rsidR="00C46DE3" w:rsidRPr="00C46DE3" w:rsidRDefault="00C46DE3" w:rsidP="00C46DE3">
      <w:pPr>
        <w:pStyle w:val="Prrafodelista"/>
        <w:numPr>
          <w:ilvl w:val="0"/>
          <w:numId w:val="5"/>
        </w:numPr>
        <w:tabs>
          <w:tab w:val="clear" w:pos="720"/>
          <w:tab w:val="num" w:pos="567"/>
        </w:tabs>
        <w:ind w:left="567" w:hanging="567"/>
        <w:contextualSpacing w:val="0"/>
        <w:jc w:val="both"/>
        <w:rPr>
          <w:rFonts w:ascii="Tahoma" w:hAnsi="Tahoma" w:cs="Tahoma"/>
          <w:sz w:val="20"/>
          <w:szCs w:val="20"/>
          <w:lang w:eastAsia="es-PE"/>
        </w:rPr>
      </w:pPr>
      <w:r w:rsidRPr="00C46DE3">
        <w:rPr>
          <w:rFonts w:ascii="Tahoma" w:hAnsi="Tahoma" w:cs="Tahoma"/>
          <w:sz w:val="20"/>
          <w:szCs w:val="20"/>
        </w:rPr>
        <w:t xml:space="preserve">No obstante ello, en el curso del presente recurso, los integrantes del Consorcio han exhibido ante este Tribunal correos electrónicos mediante los cuales se puede apreciar que éstos si mantuvieron comunicación con su proveedor a fin de dar seguimiento constante al proceso de entrega de las Lustradoras; más aún, se advierte el escrito de </w:t>
      </w:r>
      <w:r w:rsidRPr="00C46DE3">
        <w:rPr>
          <w:rFonts w:ascii="Tahoma" w:hAnsi="Tahoma" w:cs="Tahoma"/>
          <w:sz w:val="20"/>
          <w:szCs w:val="20"/>
        </w:rPr>
        <w:lastRenderedPageBreak/>
        <w:t xml:space="preserve">fecha 18 de agosto de 2010, en el cual se aprecia que el Consorcio informó a la Entidad del retraso debido al rechazo de su proveedor a entregarles los bienes adjudicados. </w:t>
      </w:r>
    </w:p>
    <w:p w:rsidR="00C46DE3" w:rsidRPr="00C46DE3" w:rsidRDefault="00C46DE3" w:rsidP="00C46DE3">
      <w:pPr>
        <w:pStyle w:val="Prrafodelista"/>
        <w:rPr>
          <w:rFonts w:ascii="Tahoma" w:hAnsi="Tahoma" w:cs="Tahoma"/>
          <w:sz w:val="20"/>
          <w:szCs w:val="20"/>
        </w:rPr>
      </w:pPr>
    </w:p>
    <w:p w:rsidR="00C46DE3" w:rsidRPr="00C46DE3" w:rsidRDefault="00C46DE3" w:rsidP="00C46DE3">
      <w:pPr>
        <w:pStyle w:val="Prrafodelista"/>
        <w:numPr>
          <w:ilvl w:val="0"/>
          <w:numId w:val="5"/>
        </w:numPr>
        <w:tabs>
          <w:tab w:val="clear" w:pos="720"/>
          <w:tab w:val="num" w:pos="567"/>
        </w:tabs>
        <w:ind w:left="567" w:hanging="567"/>
        <w:contextualSpacing w:val="0"/>
        <w:jc w:val="both"/>
        <w:rPr>
          <w:rFonts w:ascii="Tahoma" w:hAnsi="Tahoma" w:cs="Tahoma"/>
          <w:sz w:val="20"/>
          <w:szCs w:val="20"/>
          <w:lang w:eastAsia="es-PE"/>
        </w:rPr>
      </w:pPr>
      <w:r w:rsidRPr="00C46DE3">
        <w:rPr>
          <w:rFonts w:ascii="Tahoma" w:hAnsi="Tahoma" w:cs="Tahoma"/>
          <w:sz w:val="20"/>
          <w:szCs w:val="20"/>
        </w:rPr>
        <w:t>En atención a lo expuesto, este Colegiado ha podido verificar que –conforme a lo señalado en el numeral 52 de la resolución impugnada– si bien el incumplimiento se debió al retraso en la entrega de los bienes por parte de su proveedor, de la verificación de los nuevos medios probatorios presentados se advierte que el Consorcio si fue diligente, responsable y mantuvo comunicación constante con la Entidad a fin de cumplir con su obligación en el plazo correspondiente. De este modo, puede colegirse entonces que el fundamento contenido en el mencionado numeral, el cual fue tomado en cuenta por este Tribunal para imponer la sanción de 14 (catorce) meses a los integrantes del Consorcio ha quedado desvirtuado y, en ese sentido, corresponde entonces reformar la sanción impuesta.</w:t>
      </w:r>
    </w:p>
    <w:p w:rsidR="00C46DE3" w:rsidRPr="00C46DE3" w:rsidRDefault="00C46DE3" w:rsidP="00C46DE3">
      <w:pPr>
        <w:pStyle w:val="Prrafodelista"/>
        <w:rPr>
          <w:rFonts w:ascii="Tahoma" w:hAnsi="Tahoma" w:cs="Tahoma"/>
          <w:sz w:val="20"/>
          <w:szCs w:val="20"/>
          <w:lang w:eastAsia="es-PE"/>
        </w:rPr>
      </w:pPr>
    </w:p>
    <w:p w:rsidR="00C46DE3" w:rsidRPr="00C46DE3" w:rsidRDefault="00C46DE3" w:rsidP="00C46DE3">
      <w:pPr>
        <w:numPr>
          <w:ilvl w:val="0"/>
          <w:numId w:val="5"/>
        </w:numPr>
        <w:tabs>
          <w:tab w:val="clear" w:pos="720"/>
          <w:tab w:val="num" w:pos="567"/>
        </w:tabs>
        <w:ind w:left="567" w:hanging="567"/>
        <w:jc w:val="both"/>
        <w:rPr>
          <w:rFonts w:ascii="Tahoma" w:hAnsi="Tahoma" w:cs="Tahoma"/>
          <w:sz w:val="20"/>
          <w:szCs w:val="20"/>
        </w:rPr>
      </w:pPr>
      <w:r w:rsidRPr="00C46DE3">
        <w:rPr>
          <w:rFonts w:ascii="Tahoma" w:hAnsi="Tahoma" w:cs="Tahoma"/>
          <w:sz w:val="20"/>
          <w:szCs w:val="20"/>
          <w:lang w:eastAsia="es-PE"/>
        </w:rPr>
        <w:t xml:space="preserve">Sin perjuicio de lo expuesto, es necesario traer a colación lo esbozado por el Consorcio en su escrito de fecha 07 de marzo de 2011, referido a que la sanción impuesta al Consorcio se baso por la falta de diligencia ordinaria requerida en la ejecución de las prestaciones que tuvo a su cargo; dicho argumento carece  de todo fundamento fáctico y legal, toda vez que en los numerales 6, 7, 8, 9, 10 y 11 de la Fundamentación de la resolución venida en grado, se estableció que la infracción invocada se encontraba dentro de la penalidad por mora y no por el incumplimiento injustificados de obligaciones contractuales, ya que tales supuestos que contempla la normativa de la materia contienen diferentes tipos de hecho. Sin embargo, este Tribunal tomo en consideración la diligencia ordinaria a fin de desvirtuar los descargos realizados por el Consorcio el 03 y 07 de enero de 2011, los cuales en el curso del presente reconsideración ya fueron analizados, por lo que lo alegado por el Consorcio en este extremo no resulta amparable. Más aún, si fluye de los antecedentes administrativos que, los integrantes del Consorcio no cumplieron con internar los bienes objeto del contrato dentro del plazo establecido, </w:t>
      </w:r>
      <w:r w:rsidRPr="00C46DE3">
        <w:rPr>
          <w:rFonts w:ascii="Tahoma" w:hAnsi="Tahoma" w:cs="Tahoma"/>
          <w:sz w:val="20"/>
          <w:szCs w:val="20"/>
        </w:rPr>
        <w:t>acumulado el monto máximo de la penalidad por mora</w:t>
      </w:r>
      <w:r w:rsidRPr="00C46DE3">
        <w:rPr>
          <w:rFonts w:ascii="Tahoma" w:hAnsi="Tahoma" w:cs="Tahoma"/>
          <w:sz w:val="20"/>
          <w:szCs w:val="20"/>
          <w:lang w:eastAsia="es-PE"/>
        </w:rPr>
        <w:t>, hecho que causo la resolución del contrato, situación fáctica atribuible como conducta sancionable administrativamente.</w:t>
      </w:r>
    </w:p>
    <w:p w:rsidR="00C46DE3" w:rsidRPr="00C46DE3" w:rsidRDefault="00C46DE3" w:rsidP="00C46DE3">
      <w:pPr>
        <w:ind w:left="567"/>
        <w:rPr>
          <w:rFonts w:ascii="Tahoma" w:hAnsi="Tahoma" w:cs="Tahoma"/>
          <w:sz w:val="20"/>
          <w:szCs w:val="20"/>
        </w:rPr>
      </w:pPr>
    </w:p>
    <w:p w:rsidR="00C46DE3" w:rsidRPr="00C46DE3" w:rsidRDefault="00C46DE3" w:rsidP="00C46DE3">
      <w:pPr>
        <w:numPr>
          <w:ilvl w:val="0"/>
          <w:numId w:val="5"/>
        </w:numPr>
        <w:tabs>
          <w:tab w:val="clear" w:pos="720"/>
          <w:tab w:val="num" w:pos="567"/>
        </w:tabs>
        <w:ind w:left="567" w:hanging="567"/>
        <w:jc w:val="both"/>
        <w:rPr>
          <w:rFonts w:ascii="Tahoma" w:hAnsi="Tahoma" w:cs="Tahoma"/>
          <w:sz w:val="20"/>
          <w:szCs w:val="20"/>
        </w:rPr>
      </w:pPr>
      <w:r w:rsidRPr="00C46DE3">
        <w:rPr>
          <w:rFonts w:ascii="Tahoma" w:hAnsi="Tahoma" w:cs="Tahoma"/>
          <w:sz w:val="20"/>
          <w:szCs w:val="20"/>
          <w:lang w:eastAsia="es-PE"/>
        </w:rPr>
        <w:t xml:space="preserve">Finalmente, queda claro, que el supuesto contemplado en el numeral 2) del artículo 168 del Reglamento, referido </w:t>
      </w:r>
      <w:r w:rsidRPr="00C46DE3">
        <w:rPr>
          <w:rFonts w:ascii="Tahoma" w:hAnsi="Tahoma" w:cs="Tahoma"/>
          <w:sz w:val="20"/>
          <w:szCs w:val="20"/>
        </w:rPr>
        <w:t>a la acumulación del</w:t>
      </w:r>
      <w:r w:rsidRPr="00C46DE3">
        <w:rPr>
          <w:rFonts w:ascii="Tahoma" w:hAnsi="Tahoma" w:cs="Tahoma"/>
          <w:i/>
          <w:sz w:val="20"/>
          <w:szCs w:val="20"/>
        </w:rPr>
        <w:t xml:space="preserve"> </w:t>
      </w:r>
      <w:r w:rsidRPr="00C46DE3">
        <w:rPr>
          <w:rFonts w:ascii="Tahoma" w:hAnsi="Tahoma" w:cs="Tahoma"/>
          <w:sz w:val="20"/>
          <w:szCs w:val="20"/>
        </w:rPr>
        <w:t>monto máximo de la penalidad por mora, en la ejecución de la prestación a su cargo; se requiere acreditar que existía un retraso injustificado en la ejecución de las prestaciones a cargo del Consorcio. Sin embargo, en el caso de autos, ha quedado acreditado en el presente caso que, al 18 de agosto de 2010, fecha límite para el cumplimiento de sus obligaciones, el Consorcio no había cumplido con hacer efectivo el internamiento de los bienes adjudicados. Razón por la cual, mediante Carta Notarial № 24-2010-MP-FN-GG-GECLOG de fecha 02 de septiembre de 2010, la Entidad le comunicó la resolución del contrato por causa atribuible al Consorcio, al haber acumulado el máximo de penalidad por mora.</w:t>
      </w:r>
    </w:p>
    <w:p w:rsidR="00C46DE3" w:rsidRPr="00C46DE3" w:rsidRDefault="00C46DE3" w:rsidP="00C46DE3">
      <w:pPr>
        <w:pStyle w:val="Prrafodelista"/>
        <w:ind w:left="567"/>
        <w:rPr>
          <w:rFonts w:ascii="Tahoma" w:hAnsi="Tahoma" w:cs="Tahoma"/>
          <w:sz w:val="20"/>
          <w:szCs w:val="20"/>
        </w:rPr>
      </w:pPr>
    </w:p>
    <w:p w:rsidR="00C46DE3" w:rsidRPr="00C46DE3" w:rsidRDefault="00C46DE3" w:rsidP="0077221D">
      <w:pPr>
        <w:pStyle w:val="Prrafodelista"/>
        <w:tabs>
          <w:tab w:val="num" w:pos="567"/>
        </w:tabs>
        <w:ind w:left="567"/>
        <w:jc w:val="both"/>
        <w:rPr>
          <w:rFonts w:ascii="Tahoma" w:hAnsi="Tahoma" w:cs="Tahoma"/>
          <w:sz w:val="20"/>
          <w:szCs w:val="20"/>
        </w:rPr>
      </w:pPr>
      <w:r w:rsidRPr="00C46DE3">
        <w:rPr>
          <w:rFonts w:ascii="Tahoma" w:hAnsi="Tahoma" w:cs="Tahoma"/>
          <w:sz w:val="20"/>
          <w:szCs w:val="20"/>
          <w:lang w:eastAsia="es-PE"/>
        </w:rPr>
        <w:t xml:space="preserve">Dicho lo cual, es precisar señalar que los integrantes del Consorcio no han objetado ni presentado medio probatorio que contradiga de modo alguno la resolución del contrato, la cual se realizó porque el Consorcio llegó acumular el monto máximo de penalidad por mora, el cual fue establecido en el numeral 3.6 del Capítulo III de las Bases Integradas del proceso de selección en concordancia con la Cláusula Novena del Contrato № 09-2010-ADP-MP-FN-GG-GECLOG. Más aún, </w:t>
      </w:r>
      <w:r w:rsidRPr="00C46DE3">
        <w:rPr>
          <w:rFonts w:ascii="Tahoma" w:hAnsi="Tahoma" w:cs="Tahoma"/>
          <w:sz w:val="20"/>
          <w:szCs w:val="20"/>
        </w:rPr>
        <w:t xml:space="preserve">si el Consorcio no se encontraba de acuerdo con la resolución del contrato, debió someter la controversia a arbitraje y/o conciliación, </w:t>
      </w:r>
      <w:r w:rsidRPr="00C46DE3">
        <w:rPr>
          <w:rFonts w:ascii="Tahoma" w:hAnsi="Tahoma" w:cs="Tahoma"/>
          <w:sz w:val="20"/>
          <w:szCs w:val="20"/>
        </w:rPr>
        <w:lastRenderedPageBreak/>
        <w:t>pues sólo a través de dichos procedimiento pueden ser resueltas las controversias generadas de la resolución del contrato. Si bien es cierto, que el Consorcio solicitó que la resolución del contrato fuera discutida en vía de conciliación, atendiendo al artículo 170 del Reglamento; sin embargo, la misma que no arribó a ningún acuerdo, según consta en el Acta de Conciliación № 002865 de fecha 06 de octubre de 2010.</w:t>
      </w:r>
    </w:p>
    <w:p w:rsidR="00C46DE3" w:rsidRPr="00C46DE3" w:rsidRDefault="00C46DE3" w:rsidP="00C46DE3">
      <w:pPr>
        <w:tabs>
          <w:tab w:val="num" w:pos="567"/>
        </w:tabs>
        <w:rPr>
          <w:rFonts w:ascii="Tahoma" w:hAnsi="Tahoma" w:cs="Tahoma"/>
          <w:sz w:val="20"/>
          <w:szCs w:val="20"/>
        </w:rPr>
      </w:pPr>
    </w:p>
    <w:p w:rsidR="00C46DE3" w:rsidRPr="00C46DE3" w:rsidRDefault="00C46DE3" w:rsidP="00C46DE3">
      <w:pPr>
        <w:numPr>
          <w:ilvl w:val="0"/>
          <w:numId w:val="5"/>
        </w:numPr>
        <w:tabs>
          <w:tab w:val="clear" w:pos="720"/>
          <w:tab w:val="num" w:pos="567"/>
        </w:tabs>
        <w:ind w:left="567" w:hanging="567"/>
        <w:jc w:val="both"/>
        <w:rPr>
          <w:rFonts w:ascii="Tahoma" w:hAnsi="Tahoma" w:cs="Tahoma"/>
          <w:sz w:val="20"/>
          <w:szCs w:val="20"/>
        </w:rPr>
      </w:pPr>
      <w:r w:rsidRPr="00C46DE3">
        <w:rPr>
          <w:rFonts w:ascii="Tahoma" w:hAnsi="Tahoma" w:cs="Tahoma"/>
          <w:sz w:val="20"/>
          <w:szCs w:val="20"/>
        </w:rPr>
        <w:t>Por lo tanto, a pesar de que existe responsabilidad administrativa por parte del Consorcio, tal como se indicó en la resolución materia del presente recurso de reconsideración, este Tribunal estima que corresponde reformar la sanción impuesta mediante esta última, en virtud a las circunstancias atenuantes de responsabilidad alegadas por el Consorcio en la presente impugnación.</w:t>
      </w:r>
    </w:p>
    <w:p w:rsidR="00C46DE3" w:rsidRPr="00C46DE3" w:rsidRDefault="00C46DE3" w:rsidP="00C46DE3">
      <w:pPr>
        <w:pStyle w:val="Prrafodelista"/>
        <w:ind w:left="567" w:right="-2"/>
        <w:rPr>
          <w:rFonts w:ascii="Tahoma" w:hAnsi="Tahoma" w:cs="Tahoma"/>
          <w:sz w:val="20"/>
          <w:szCs w:val="20"/>
        </w:rPr>
      </w:pPr>
    </w:p>
    <w:p w:rsidR="00C46DE3" w:rsidRPr="00C46DE3" w:rsidRDefault="00C46DE3" w:rsidP="00C46DE3">
      <w:pPr>
        <w:pStyle w:val="Prrafodelista"/>
        <w:numPr>
          <w:ilvl w:val="0"/>
          <w:numId w:val="5"/>
        </w:numPr>
        <w:tabs>
          <w:tab w:val="clear" w:pos="720"/>
          <w:tab w:val="num" w:pos="567"/>
        </w:tabs>
        <w:ind w:left="567" w:right="-2" w:hanging="567"/>
        <w:contextualSpacing w:val="0"/>
        <w:jc w:val="both"/>
        <w:rPr>
          <w:rFonts w:ascii="Tahoma" w:hAnsi="Tahoma" w:cs="Tahoma"/>
          <w:sz w:val="20"/>
          <w:szCs w:val="20"/>
        </w:rPr>
      </w:pPr>
      <w:r w:rsidRPr="00C46DE3">
        <w:rPr>
          <w:rFonts w:ascii="Tahoma" w:hAnsi="Tahoma" w:cs="Tahoma"/>
          <w:sz w:val="20"/>
          <w:szCs w:val="20"/>
          <w:lang w:val="es-ES_tradnl"/>
        </w:rPr>
        <w:t>En consecuencia</w:t>
      </w:r>
      <w:r w:rsidRPr="00C46DE3">
        <w:rPr>
          <w:rFonts w:ascii="Tahoma" w:hAnsi="Tahoma" w:cs="Tahoma"/>
          <w:sz w:val="20"/>
          <w:szCs w:val="20"/>
        </w:rPr>
        <w:t>, y atendiendo a la necesidad de que las personas naturales y/o jurídicas no deban verse privadas de su derecho de proveer al Estado más allá de lo estrictamente necesario y razonable para satisfacer los fines de la sanción, este Colegiado, en estricto orden a sus atribuciones, considera que en el caso materia de autos corresponde reducir la sanción impuesta al Contratista a doce (12) meses de inhabilitación para contratar con el Estado.</w:t>
      </w:r>
    </w:p>
    <w:p w:rsidR="00711297" w:rsidRPr="00C46DE3" w:rsidRDefault="00711297" w:rsidP="00986843">
      <w:pPr>
        <w:pStyle w:val="Prrafodelista"/>
        <w:jc w:val="both"/>
        <w:rPr>
          <w:rFonts w:ascii="Tahoma" w:hAnsi="Tahoma" w:cs="Tahoma"/>
          <w:sz w:val="20"/>
          <w:szCs w:val="20"/>
        </w:rPr>
      </w:pPr>
    </w:p>
    <w:p w:rsidR="00C46DE3" w:rsidRPr="00C46DE3" w:rsidRDefault="00C46DE3" w:rsidP="00C46DE3">
      <w:pPr>
        <w:ind w:left="567" w:firstLine="567"/>
        <w:jc w:val="both"/>
        <w:rPr>
          <w:rFonts w:ascii="Tahoma" w:hAnsi="Tahoma" w:cs="Tahoma"/>
          <w:sz w:val="20"/>
          <w:szCs w:val="20"/>
        </w:rPr>
      </w:pPr>
      <w:r w:rsidRPr="00C46DE3">
        <w:rPr>
          <w:rFonts w:ascii="Tahoma" w:hAnsi="Tahoma" w:cs="Tahoma"/>
          <w:color w:val="000000"/>
          <w:sz w:val="20"/>
          <w:szCs w:val="20"/>
        </w:rPr>
        <w:t xml:space="preserve">Por estos fundamentos, de conformidad con el informe del Vocal Ponente </w:t>
      </w:r>
      <w:r w:rsidRPr="00C46DE3">
        <w:rPr>
          <w:rFonts w:ascii="Tahoma" w:hAnsi="Tahoma" w:cs="Tahoma"/>
          <w:sz w:val="20"/>
          <w:szCs w:val="20"/>
        </w:rPr>
        <w:t>Doctor Carlos Vicente Navas Rondón</w:t>
      </w:r>
      <w:r w:rsidRPr="00C46DE3">
        <w:rPr>
          <w:rFonts w:ascii="Tahoma" w:hAnsi="Tahoma" w:cs="Tahoma"/>
          <w:color w:val="000000"/>
          <w:sz w:val="20"/>
          <w:szCs w:val="20"/>
        </w:rPr>
        <w:t xml:space="preserve"> y la intervención de las Vocales Dra. Janette Elke Ramírez Maynetto y Dra. Ada Basulto Liewald, y atendiendo a la reconformación de la Primera Sala del Tribunal de Contrataciones del Estado según lo dispuesto en la Resolución № 103-2011-OSCE/PRE de fecha 15 de febrero de 2011, y en ejercicio de las facultades conferidas en los artículos 53, 59 y 61 aprobado por Decreto Legislativo 1017, Ley de Contrataciones del Estado,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711297" w:rsidRPr="00C46DE3" w:rsidRDefault="00711297" w:rsidP="00986843">
      <w:pPr>
        <w:pStyle w:val="Sinespaciado"/>
        <w:jc w:val="both"/>
        <w:rPr>
          <w:rFonts w:ascii="Tahoma" w:hAnsi="Tahoma" w:cs="Tahoma"/>
          <w:sz w:val="20"/>
          <w:szCs w:val="20"/>
        </w:rPr>
      </w:pPr>
    </w:p>
    <w:p w:rsidR="00711297" w:rsidRPr="00C46DE3" w:rsidRDefault="00711297" w:rsidP="00986843">
      <w:pPr>
        <w:tabs>
          <w:tab w:val="num" w:pos="360"/>
          <w:tab w:val="left" w:pos="8280"/>
        </w:tabs>
        <w:jc w:val="both"/>
        <w:rPr>
          <w:rFonts w:ascii="Tahoma" w:hAnsi="Tahoma" w:cs="Tahoma"/>
          <w:b/>
          <w:sz w:val="20"/>
          <w:szCs w:val="20"/>
        </w:rPr>
      </w:pPr>
      <w:r w:rsidRPr="00C46DE3">
        <w:rPr>
          <w:rFonts w:ascii="Tahoma" w:hAnsi="Tahoma" w:cs="Tahoma"/>
          <w:b/>
          <w:sz w:val="20"/>
          <w:szCs w:val="20"/>
        </w:rPr>
        <w:t>LA SALA RESUELVE:</w:t>
      </w:r>
    </w:p>
    <w:p w:rsidR="00711297" w:rsidRPr="00C46DE3" w:rsidRDefault="00711297" w:rsidP="00986843">
      <w:pPr>
        <w:tabs>
          <w:tab w:val="num" w:pos="360"/>
          <w:tab w:val="left" w:pos="8280"/>
        </w:tabs>
        <w:jc w:val="both"/>
        <w:rPr>
          <w:rFonts w:ascii="Tahoma" w:hAnsi="Tahoma" w:cs="Tahoma"/>
          <w:b/>
          <w:sz w:val="20"/>
          <w:szCs w:val="20"/>
        </w:rPr>
      </w:pPr>
    </w:p>
    <w:p w:rsidR="00C46DE3" w:rsidRPr="00C46DE3" w:rsidRDefault="00C46DE3" w:rsidP="00C46DE3">
      <w:pPr>
        <w:pStyle w:val="Prrafodelista"/>
        <w:widowControl w:val="0"/>
        <w:numPr>
          <w:ilvl w:val="0"/>
          <w:numId w:val="3"/>
        </w:numPr>
        <w:tabs>
          <w:tab w:val="left" w:pos="567"/>
        </w:tabs>
        <w:suppressAutoHyphens/>
        <w:ind w:left="567" w:hanging="567"/>
        <w:jc w:val="both"/>
        <w:rPr>
          <w:rFonts w:ascii="Tahoma" w:hAnsi="Tahoma" w:cs="Tahoma"/>
          <w:sz w:val="20"/>
          <w:szCs w:val="20"/>
        </w:rPr>
      </w:pPr>
      <w:r w:rsidRPr="00C46DE3">
        <w:rPr>
          <w:rFonts w:ascii="Tahoma" w:hAnsi="Tahoma" w:cs="Tahoma"/>
          <w:sz w:val="20"/>
          <w:szCs w:val="20"/>
        </w:rPr>
        <w:t>Declarar fundado en parte el recurso de reconsideración interpuesto por la empresa EH DATA S.A.C. dejándose sin efecto la Resolución № 211-2011-TC-S3 de fecha 09 de febrero de 2011 en el extremo que sanciona a la referida empresa por el periodo de catorce (14) meses de inhabilitación temporal en su derecho de participar en procesos de selección y contratar con el Estado, reformando el periodo de sanción a doce (12) meses.</w:t>
      </w:r>
    </w:p>
    <w:p w:rsidR="00C46DE3" w:rsidRPr="00C46DE3" w:rsidRDefault="00C46DE3" w:rsidP="00C46DE3">
      <w:pPr>
        <w:pStyle w:val="Prrafodelista"/>
        <w:widowControl w:val="0"/>
        <w:tabs>
          <w:tab w:val="left" w:pos="567"/>
        </w:tabs>
        <w:suppressAutoHyphens/>
        <w:ind w:left="567"/>
        <w:rPr>
          <w:rFonts w:ascii="Tahoma" w:hAnsi="Tahoma" w:cs="Tahoma"/>
          <w:sz w:val="20"/>
          <w:szCs w:val="20"/>
        </w:rPr>
      </w:pPr>
    </w:p>
    <w:p w:rsidR="00C46DE3" w:rsidRPr="00C46DE3" w:rsidRDefault="00C46DE3" w:rsidP="00C46DE3">
      <w:pPr>
        <w:pStyle w:val="Prrafodelista"/>
        <w:widowControl w:val="0"/>
        <w:numPr>
          <w:ilvl w:val="0"/>
          <w:numId w:val="3"/>
        </w:numPr>
        <w:tabs>
          <w:tab w:val="left" w:pos="567"/>
        </w:tabs>
        <w:suppressAutoHyphens/>
        <w:ind w:left="567" w:hanging="567"/>
        <w:jc w:val="both"/>
        <w:rPr>
          <w:rFonts w:ascii="Tahoma" w:hAnsi="Tahoma" w:cs="Tahoma"/>
          <w:sz w:val="20"/>
          <w:szCs w:val="20"/>
        </w:rPr>
      </w:pPr>
      <w:r w:rsidRPr="00C46DE3">
        <w:rPr>
          <w:rFonts w:ascii="Tahoma" w:hAnsi="Tahoma" w:cs="Tahoma"/>
          <w:sz w:val="20"/>
          <w:szCs w:val="20"/>
        </w:rPr>
        <w:t>Declarar fundado en parte el recurso de reconsideración interpuesto por la empresa ALDEX GROUP S.A.C. dejándose sin efecto la Resolución № 211-2011-TC-S3 de fecha 09 de febrero de 2011 en el extremo que sanciona a la referida empresa por el periodo de catorce (14) meses de inhabilitación temporal en su derecho de participar en procesos de selección y contratar con el Estado, reformando el periodo de sanción a doce (12) meses.</w:t>
      </w:r>
    </w:p>
    <w:p w:rsidR="00C46DE3" w:rsidRPr="00C46DE3" w:rsidRDefault="00C46DE3" w:rsidP="00C46DE3">
      <w:pPr>
        <w:pStyle w:val="Prrafodelista"/>
        <w:rPr>
          <w:rFonts w:ascii="Tahoma" w:hAnsi="Tahoma" w:cs="Tahoma"/>
          <w:sz w:val="20"/>
          <w:szCs w:val="20"/>
        </w:rPr>
      </w:pPr>
    </w:p>
    <w:p w:rsidR="00C46DE3" w:rsidRPr="00C46DE3" w:rsidRDefault="00C46DE3" w:rsidP="00C46DE3">
      <w:pPr>
        <w:pStyle w:val="Prrafodelista"/>
        <w:widowControl w:val="0"/>
        <w:numPr>
          <w:ilvl w:val="0"/>
          <w:numId w:val="3"/>
        </w:numPr>
        <w:tabs>
          <w:tab w:val="left" w:pos="567"/>
        </w:tabs>
        <w:suppressAutoHyphens/>
        <w:ind w:left="567" w:hanging="567"/>
        <w:jc w:val="both"/>
        <w:rPr>
          <w:rFonts w:ascii="Tahoma" w:hAnsi="Tahoma" w:cs="Tahoma"/>
          <w:sz w:val="20"/>
          <w:szCs w:val="20"/>
        </w:rPr>
      </w:pPr>
      <w:r w:rsidRPr="00C46DE3">
        <w:rPr>
          <w:rFonts w:ascii="Tahoma" w:hAnsi="Tahoma" w:cs="Tahoma"/>
          <w:sz w:val="20"/>
          <w:szCs w:val="20"/>
        </w:rPr>
        <w:t>Declarar fundado en parte el recurso de reconsideración interpuesto por la empresa SERVIGER E.I.R.L. dejándose sin efecto la Resolución № 211-2011-TC-S3 de fecha 09 de febrero de 2011 en el extremo que sanciona a la referida empresa por el periodo de catorce (14) meses de inhabilitación temporal en su derecho de participar en procesos de selección y contratar con el Estado, reformando el periodo de sanción a doce (12) meses.</w:t>
      </w:r>
    </w:p>
    <w:p w:rsidR="00C46DE3" w:rsidRPr="00C46DE3" w:rsidRDefault="00C46DE3" w:rsidP="00C46DE3">
      <w:pPr>
        <w:pStyle w:val="Prrafodelista"/>
        <w:widowControl w:val="0"/>
        <w:tabs>
          <w:tab w:val="left" w:pos="567"/>
        </w:tabs>
        <w:suppressAutoHyphens/>
        <w:ind w:left="567"/>
        <w:rPr>
          <w:rFonts w:ascii="Tahoma" w:hAnsi="Tahoma" w:cs="Tahoma"/>
          <w:sz w:val="20"/>
          <w:szCs w:val="20"/>
        </w:rPr>
      </w:pPr>
    </w:p>
    <w:p w:rsidR="00C46DE3" w:rsidRPr="00C46DE3" w:rsidRDefault="00C46DE3" w:rsidP="00C46DE3">
      <w:pPr>
        <w:pStyle w:val="Prrafodelista"/>
        <w:widowControl w:val="0"/>
        <w:numPr>
          <w:ilvl w:val="0"/>
          <w:numId w:val="3"/>
        </w:numPr>
        <w:tabs>
          <w:tab w:val="left" w:pos="567"/>
        </w:tabs>
        <w:suppressAutoHyphens/>
        <w:ind w:left="567" w:hanging="567"/>
        <w:jc w:val="both"/>
        <w:rPr>
          <w:rFonts w:ascii="Tahoma" w:hAnsi="Tahoma" w:cs="Tahoma"/>
          <w:sz w:val="20"/>
          <w:szCs w:val="20"/>
        </w:rPr>
      </w:pPr>
      <w:r w:rsidRPr="00C46DE3">
        <w:rPr>
          <w:rFonts w:ascii="Tahoma" w:hAnsi="Tahoma" w:cs="Tahoma"/>
          <w:sz w:val="20"/>
          <w:szCs w:val="20"/>
        </w:rPr>
        <w:t xml:space="preserve">Poner la presente Resolución en conocimiento de la Subdirección del Registro Nacional de Proveedores del Organismo Superior de Contrataciones del Estado (OSCE), para las anotaciones de ley. </w:t>
      </w:r>
    </w:p>
    <w:p w:rsidR="00C46DE3" w:rsidRPr="00C46DE3" w:rsidRDefault="00C46DE3" w:rsidP="00C46DE3">
      <w:pPr>
        <w:pStyle w:val="Prrafodelista"/>
        <w:ind w:left="1134"/>
        <w:rPr>
          <w:rFonts w:ascii="Tahoma" w:hAnsi="Tahoma" w:cs="Tahoma"/>
          <w:bCs/>
          <w:sz w:val="20"/>
          <w:szCs w:val="20"/>
        </w:rPr>
      </w:pPr>
    </w:p>
    <w:p w:rsidR="00C46DE3" w:rsidRPr="00C46DE3" w:rsidRDefault="00C46DE3" w:rsidP="00C46DE3">
      <w:pPr>
        <w:numPr>
          <w:ilvl w:val="0"/>
          <w:numId w:val="3"/>
        </w:numPr>
        <w:ind w:left="540" w:hanging="540"/>
        <w:jc w:val="both"/>
        <w:rPr>
          <w:rFonts w:ascii="Tahoma" w:hAnsi="Tahoma" w:cs="Tahoma"/>
          <w:sz w:val="20"/>
          <w:szCs w:val="20"/>
        </w:rPr>
      </w:pPr>
      <w:r w:rsidRPr="00C46DE3">
        <w:rPr>
          <w:rFonts w:ascii="Tahoma" w:hAnsi="Tahoma" w:cs="Tahoma"/>
          <w:bCs/>
          <w:sz w:val="20"/>
          <w:szCs w:val="20"/>
        </w:rPr>
        <w:t>Devolver la garantía presentada por el Consorcio conformado por las empresas EH DATA S.A.C., ALDEX GROUP S.A.C. y SERVIGER E.I.R.L.</w:t>
      </w:r>
      <w:r w:rsidRPr="00C46DE3">
        <w:rPr>
          <w:rFonts w:ascii="Tahoma" w:hAnsi="Tahoma" w:cs="Tahoma"/>
          <w:sz w:val="20"/>
          <w:szCs w:val="20"/>
          <w:lang w:val="es-PE"/>
        </w:rPr>
        <w:t xml:space="preserve"> </w:t>
      </w:r>
      <w:r w:rsidRPr="00C46DE3">
        <w:rPr>
          <w:rFonts w:ascii="Tahoma" w:hAnsi="Tahoma" w:cs="Tahoma"/>
          <w:bCs/>
          <w:sz w:val="20"/>
          <w:szCs w:val="20"/>
        </w:rPr>
        <w:t>por la interposición del recurso del recurso de reconsideración contra la Resolución № 211-2010-TC-S3.</w:t>
      </w:r>
    </w:p>
    <w:p w:rsidR="00C46DE3" w:rsidRPr="00C46DE3" w:rsidRDefault="00C46DE3" w:rsidP="00C46DE3">
      <w:pPr>
        <w:pStyle w:val="Prrafodelista"/>
        <w:rPr>
          <w:rFonts w:ascii="Tahoma" w:hAnsi="Tahoma" w:cs="Tahoma"/>
          <w:sz w:val="20"/>
          <w:szCs w:val="20"/>
        </w:rPr>
      </w:pPr>
    </w:p>
    <w:p w:rsidR="00C46DE3" w:rsidRPr="00C46DE3" w:rsidRDefault="00C46DE3" w:rsidP="00C46DE3">
      <w:pPr>
        <w:numPr>
          <w:ilvl w:val="0"/>
          <w:numId w:val="3"/>
        </w:numPr>
        <w:ind w:left="540" w:hanging="540"/>
        <w:jc w:val="both"/>
        <w:rPr>
          <w:rFonts w:ascii="Tahoma" w:hAnsi="Tahoma" w:cs="Tahoma"/>
          <w:sz w:val="20"/>
          <w:szCs w:val="20"/>
        </w:rPr>
      </w:pPr>
      <w:r w:rsidRPr="00C46DE3">
        <w:rPr>
          <w:rFonts w:ascii="Tahoma" w:hAnsi="Tahoma" w:cs="Tahoma"/>
          <w:sz w:val="20"/>
          <w:szCs w:val="20"/>
        </w:rPr>
        <w:t>Dar por agotada la vía administrativa.</w:t>
      </w:r>
    </w:p>
    <w:p w:rsidR="00877F0D" w:rsidRPr="00C46DE3" w:rsidRDefault="00877F0D" w:rsidP="00986843">
      <w:pPr>
        <w:ind w:left="540"/>
        <w:jc w:val="both"/>
        <w:rPr>
          <w:rFonts w:ascii="Tahoma" w:hAnsi="Tahoma" w:cs="Tahoma"/>
          <w:sz w:val="20"/>
          <w:szCs w:val="20"/>
        </w:rPr>
      </w:pPr>
    </w:p>
    <w:p w:rsidR="00711297" w:rsidRPr="00C46DE3" w:rsidRDefault="00711297" w:rsidP="00986843">
      <w:pPr>
        <w:tabs>
          <w:tab w:val="num" w:pos="540"/>
        </w:tabs>
        <w:jc w:val="both"/>
        <w:rPr>
          <w:rFonts w:ascii="Tahoma" w:hAnsi="Tahoma" w:cs="Tahoma"/>
          <w:sz w:val="20"/>
          <w:szCs w:val="20"/>
        </w:rPr>
      </w:pPr>
      <w:r w:rsidRPr="00C46DE3">
        <w:rPr>
          <w:rFonts w:ascii="Tahoma" w:hAnsi="Tahoma" w:cs="Tahoma"/>
          <w:sz w:val="20"/>
          <w:szCs w:val="20"/>
        </w:rPr>
        <w:t>Regístrese, comuníquese y publíquese.</w:t>
      </w:r>
    </w:p>
    <w:p w:rsidR="00711297" w:rsidRPr="00C46DE3" w:rsidRDefault="00711297" w:rsidP="00986843">
      <w:pPr>
        <w:tabs>
          <w:tab w:val="num" w:pos="540"/>
        </w:tabs>
        <w:jc w:val="both"/>
        <w:rPr>
          <w:rFonts w:ascii="Tahoma" w:hAnsi="Tahoma" w:cs="Tahoma"/>
          <w:sz w:val="20"/>
          <w:szCs w:val="20"/>
        </w:rPr>
      </w:pPr>
    </w:p>
    <w:p w:rsidR="00711297" w:rsidRPr="00C46DE3" w:rsidRDefault="00711297" w:rsidP="00986843">
      <w:pPr>
        <w:jc w:val="both"/>
        <w:rPr>
          <w:rFonts w:ascii="Tahoma" w:hAnsi="Tahoma" w:cs="Tahoma"/>
          <w:b/>
          <w:shadow/>
          <w:sz w:val="20"/>
          <w:szCs w:val="20"/>
          <w:lang w:val="pt-BR"/>
        </w:rPr>
      </w:pPr>
    </w:p>
    <w:p w:rsidR="00711297" w:rsidRPr="00C46DE3" w:rsidRDefault="00711297" w:rsidP="00986843">
      <w:pPr>
        <w:jc w:val="both"/>
        <w:rPr>
          <w:rFonts w:ascii="Tahoma" w:hAnsi="Tahoma" w:cs="Tahoma"/>
          <w:b/>
          <w:shadow/>
          <w:sz w:val="20"/>
          <w:szCs w:val="20"/>
          <w:lang w:val="pt-BR"/>
        </w:rPr>
      </w:pPr>
    </w:p>
    <w:p w:rsidR="00101193" w:rsidRDefault="00101193" w:rsidP="00986843">
      <w:pPr>
        <w:jc w:val="both"/>
        <w:rPr>
          <w:rFonts w:ascii="Tahoma" w:hAnsi="Tahoma" w:cs="Tahoma"/>
          <w:b/>
          <w:shadow/>
          <w:sz w:val="20"/>
          <w:szCs w:val="20"/>
          <w:lang w:val="pt-BR"/>
        </w:rPr>
      </w:pPr>
    </w:p>
    <w:p w:rsidR="0077221D" w:rsidRDefault="0077221D" w:rsidP="00986843">
      <w:pPr>
        <w:jc w:val="both"/>
        <w:rPr>
          <w:rFonts w:ascii="Tahoma" w:hAnsi="Tahoma" w:cs="Tahoma"/>
          <w:b/>
          <w:shadow/>
          <w:sz w:val="20"/>
          <w:szCs w:val="20"/>
          <w:lang w:val="pt-BR"/>
        </w:rPr>
      </w:pPr>
    </w:p>
    <w:p w:rsidR="0077221D" w:rsidRPr="00C46DE3" w:rsidRDefault="0077221D" w:rsidP="00986843">
      <w:pPr>
        <w:jc w:val="both"/>
        <w:rPr>
          <w:rFonts w:ascii="Tahoma" w:hAnsi="Tahoma" w:cs="Tahoma"/>
          <w:b/>
          <w:shadow/>
          <w:sz w:val="20"/>
          <w:szCs w:val="20"/>
          <w:lang w:val="pt-BR"/>
        </w:rPr>
      </w:pPr>
    </w:p>
    <w:p w:rsidR="00101193" w:rsidRPr="00C46DE3" w:rsidRDefault="00101193" w:rsidP="00986843">
      <w:pPr>
        <w:jc w:val="both"/>
        <w:rPr>
          <w:rFonts w:ascii="Tahoma" w:hAnsi="Tahoma" w:cs="Tahoma"/>
          <w:b/>
          <w:shadow/>
          <w:sz w:val="20"/>
          <w:szCs w:val="20"/>
          <w:lang w:val="pt-BR"/>
        </w:rPr>
      </w:pPr>
    </w:p>
    <w:p w:rsidR="00101193" w:rsidRPr="00C46DE3" w:rsidRDefault="00101193" w:rsidP="00986843">
      <w:pPr>
        <w:jc w:val="both"/>
        <w:rPr>
          <w:rFonts w:ascii="Tahoma" w:hAnsi="Tahoma" w:cs="Tahoma"/>
          <w:b/>
          <w:shadow/>
          <w:sz w:val="20"/>
          <w:szCs w:val="20"/>
          <w:lang w:val="pt-BR"/>
        </w:rPr>
      </w:pPr>
    </w:p>
    <w:p w:rsidR="00711297" w:rsidRPr="00C46DE3" w:rsidRDefault="00711297" w:rsidP="00986843">
      <w:pPr>
        <w:jc w:val="both"/>
        <w:rPr>
          <w:rFonts w:ascii="Tahoma" w:hAnsi="Tahoma" w:cs="Tahoma"/>
          <w:b/>
          <w:shadow/>
          <w:sz w:val="20"/>
          <w:szCs w:val="20"/>
          <w:lang w:val="pt-BR"/>
        </w:rPr>
      </w:pPr>
    </w:p>
    <w:p w:rsidR="00711297" w:rsidRPr="00C46DE3" w:rsidRDefault="00711297" w:rsidP="00491A1B">
      <w:pPr>
        <w:pStyle w:val="Prrafodelista"/>
        <w:jc w:val="center"/>
        <w:rPr>
          <w:rFonts w:ascii="Tahoma" w:hAnsi="Tahoma" w:cs="Tahoma"/>
          <w:b/>
          <w:shadow/>
          <w:sz w:val="20"/>
          <w:szCs w:val="20"/>
          <w:lang w:val="pt-BR"/>
        </w:rPr>
      </w:pPr>
      <w:r w:rsidRPr="00C46DE3">
        <w:rPr>
          <w:rFonts w:ascii="Tahoma" w:hAnsi="Tahoma" w:cs="Tahoma"/>
          <w:b/>
          <w:shadow/>
          <w:sz w:val="20"/>
          <w:szCs w:val="20"/>
          <w:lang w:val="pt-BR"/>
        </w:rPr>
        <w:t>PRESIDENTE</w:t>
      </w:r>
    </w:p>
    <w:p w:rsidR="00711297" w:rsidRPr="00C46DE3" w:rsidRDefault="00711297" w:rsidP="00491A1B">
      <w:pPr>
        <w:pStyle w:val="Prrafodelista"/>
        <w:jc w:val="center"/>
        <w:rPr>
          <w:rFonts w:ascii="Tahoma" w:hAnsi="Tahoma" w:cs="Tahoma"/>
          <w:b/>
          <w:shadow/>
          <w:sz w:val="20"/>
          <w:szCs w:val="20"/>
          <w:lang w:val="pt-BR"/>
        </w:rPr>
      </w:pPr>
    </w:p>
    <w:p w:rsidR="00711297" w:rsidRPr="00C46DE3" w:rsidRDefault="00711297" w:rsidP="00491A1B">
      <w:pPr>
        <w:pStyle w:val="Prrafodelista"/>
        <w:jc w:val="center"/>
        <w:rPr>
          <w:rFonts w:ascii="Tahoma" w:hAnsi="Tahoma" w:cs="Tahoma"/>
          <w:b/>
          <w:shadow/>
          <w:sz w:val="20"/>
          <w:szCs w:val="20"/>
          <w:lang w:val="pt-BR"/>
        </w:rPr>
      </w:pPr>
    </w:p>
    <w:p w:rsidR="00711297" w:rsidRPr="00C46DE3" w:rsidRDefault="00711297" w:rsidP="00491A1B">
      <w:pPr>
        <w:ind w:left="360"/>
        <w:jc w:val="center"/>
        <w:rPr>
          <w:rFonts w:ascii="Tahoma" w:hAnsi="Tahoma" w:cs="Tahoma"/>
          <w:b/>
          <w:shadow/>
          <w:sz w:val="20"/>
          <w:szCs w:val="20"/>
          <w:lang w:val="pt-BR"/>
        </w:rPr>
      </w:pPr>
    </w:p>
    <w:p w:rsidR="00711297" w:rsidRPr="00C46DE3" w:rsidRDefault="00711297" w:rsidP="00491A1B">
      <w:pPr>
        <w:jc w:val="center"/>
        <w:rPr>
          <w:rFonts w:ascii="Tahoma" w:hAnsi="Tahoma" w:cs="Tahoma"/>
          <w:b/>
          <w:shadow/>
          <w:sz w:val="20"/>
          <w:szCs w:val="20"/>
          <w:lang w:val="pt-BR"/>
        </w:rPr>
      </w:pPr>
    </w:p>
    <w:p w:rsidR="00711297" w:rsidRPr="00C46DE3" w:rsidRDefault="00711297" w:rsidP="00491A1B">
      <w:pPr>
        <w:ind w:left="708" w:hanging="708"/>
        <w:jc w:val="center"/>
        <w:rPr>
          <w:rFonts w:ascii="Tahoma" w:hAnsi="Tahoma" w:cs="Tahoma"/>
          <w:b/>
          <w:shadow/>
          <w:sz w:val="20"/>
          <w:szCs w:val="20"/>
          <w:lang w:val="pt-BR"/>
        </w:rPr>
      </w:pPr>
      <w:r w:rsidRPr="00C46DE3">
        <w:rPr>
          <w:rFonts w:ascii="Tahoma" w:hAnsi="Tahoma" w:cs="Tahoma"/>
          <w:b/>
          <w:shadow/>
          <w:sz w:val="20"/>
          <w:szCs w:val="20"/>
          <w:lang w:val="pt-BR"/>
        </w:rPr>
        <w:t>VOCAL                                                                                                 VOCAL</w:t>
      </w:r>
    </w:p>
    <w:p w:rsidR="00711297" w:rsidRPr="00C46DE3" w:rsidRDefault="00711297" w:rsidP="00986843">
      <w:pPr>
        <w:ind w:left="360"/>
        <w:jc w:val="both"/>
        <w:rPr>
          <w:rFonts w:ascii="Tahoma" w:hAnsi="Tahoma" w:cs="Tahoma"/>
          <w:shadow/>
          <w:sz w:val="20"/>
          <w:szCs w:val="20"/>
          <w:lang w:val="pt-BR"/>
        </w:rPr>
      </w:pPr>
    </w:p>
    <w:p w:rsidR="00162FCA" w:rsidRPr="00C46DE3" w:rsidRDefault="00162FCA" w:rsidP="00986843">
      <w:pPr>
        <w:ind w:left="360"/>
        <w:jc w:val="both"/>
        <w:rPr>
          <w:rFonts w:ascii="Tahoma" w:hAnsi="Tahoma" w:cs="Tahoma"/>
          <w:shadow/>
          <w:sz w:val="20"/>
          <w:szCs w:val="20"/>
          <w:lang w:val="pt-BR"/>
        </w:rPr>
      </w:pPr>
    </w:p>
    <w:p w:rsidR="00162FCA" w:rsidRPr="00C46DE3" w:rsidRDefault="00162FCA" w:rsidP="00986843">
      <w:pPr>
        <w:ind w:left="360"/>
        <w:jc w:val="both"/>
        <w:rPr>
          <w:rFonts w:ascii="Tahoma" w:hAnsi="Tahoma" w:cs="Tahoma"/>
          <w:shadow/>
          <w:sz w:val="20"/>
          <w:szCs w:val="20"/>
          <w:lang w:val="pt-BR"/>
        </w:rPr>
      </w:pPr>
    </w:p>
    <w:p w:rsidR="00C46DE3" w:rsidRPr="00C46DE3" w:rsidRDefault="00C46DE3" w:rsidP="00C46DE3">
      <w:pPr>
        <w:pStyle w:val="Textoindependiente21"/>
        <w:rPr>
          <w:rFonts w:cs="Tahoma"/>
          <w:sz w:val="20"/>
          <w:lang w:val="pt-BR"/>
        </w:rPr>
      </w:pPr>
    </w:p>
    <w:p w:rsidR="00C46DE3" w:rsidRPr="00C46DE3" w:rsidRDefault="00C46DE3" w:rsidP="00C46DE3">
      <w:pPr>
        <w:pStyle w:val="Textoindependiente21"/>
        <w:rPr>
          <w:rFonts w:cs="Tahoma"/>
          <w:sz w:val="20"/>
          <w:lang w:val="pt-BR"/>
        </w:rPr>
      </w:pPr>
      <w:r w:rsidRPr="00C46DE3">
        <w:rPr>
          <w:rFonts w:cs="Tahoma"/>
          <w:sz w:val="20"/>
          <w:lang w:val="pt-BR"/>
        </w:rPr>
        <w:t>ss.</w:t>
      </w:r>
    </w:p>
    <w:p w:rsidR="00C46DE3" w:rsidRPr="00C46DE3" w:rsidRDefault="00C46DE3" w:rsidP="00C46DE3">
      <w:pPr>
        <w:pStyle w:val="Textoindependiente21"/>
        <w:rPr>
          <w:rFonts w:cs="Tahoma"/>
          <w:sz w:val="20"/>
          <w:lang w:val="pt-BR"/>
        </w:rPr>
      </w:pPr>
      <w:r w:rsidRPr="00C46DE3">
        <w:rPr>
          <w:rFonts w:cs="Tahoma"/>
          <w:sz w:val="20"/>
          <w:lang w:val="pt-BR"/>
        </w:rPr>
        <w:t>Navas Rondón</w:t>
      </w:r>
    </w:p>
    <w:p w:rsidR="00C46DE3" w:rsidRPr="00C46DE3" w:rsidRDefault="00C46DE3" w:rsidP="00C46DE3">
      <w:pPr>
        <w:pStyle w:val="Textoindependiente21"/>
        <w:rPr>
          <w:rFonts w:cs="Tahoma"/>
          <w:sz w:val="20"/>
          <w:lang w:val="pt-BR"/>
        </w:rPr>
      </w:pPr>
      <w:r w:rsidRPr="00C46DE3">
        <w:rPr>
          <w:rFonts w:cs="Tahoma"/>
          <w:sz w:val="20"/>
          <w:lang w:val="pt-BR"/>
        </w:rPr>
        <w:t xml:space="preserve">Ramírez Maynetto </w:t>
      </w:r>
    </w:p>
    <w:p w:rsidR="002C6D86" w:rsidRPr="00C46DE3" w:rsidRDefault="00C46DE3" w:rsidP="00C46DE3">
      <w:pPr>
        <w:pStyle w:val="Textoindependiente21"/>
        <w:rPr>
          <w:rFonts w:cs="Tahoma"/>
          <w:sz w:val="20"/>
        </w:rPr>
      </w:pPr>
      <w:r w:rsidRPr="00C46DE3">
        <w:rPr>
          <w:rFonts w:cs="Tahoma"/>
          <w:sz w:val="20"/>
          <w:lang w:val="pt-BR"/>
        </w:rPr>
        <w:t>Basulto Liewald</w:t>
      </w:r>
    </w:p>
    <w:sectPr w:rsidR="002C6D86" w:rsidRPr="00C46DE3" w:rsidSect="00904E87">
      <w:headerReference w:type="default" r:id="rId7"/>
      <w:footerReference w:type="default" r:id="rId8"/>
      <w:pgSz w:w="11906" w:h="16838"/>
      <w:pgMar w:top="3403" w:right="1701" w:bottom="156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67B8" w:rsidRDefault="006A67B8" w:rsidP="00711297">
      <w:r>
        <w:separator/>
      </w:r>
    </w:p>
  </w:endnote>
  <w:endnote w:type="continuationSeparator" w:id="1">
    <w:p w:rsidR="006A67B8" w:rsidRDefault="006A67B8" w:rsidP="007112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9313"/>
      <w:docPartObj>
        <w:docPartGallery w:val="Page Numbers (Bottom of Page)"/>
        <w:docPartUnique/>
      </w:docPartObj>
    </w:sdtPr>
    <w:sdtContent>
      <w:p w:rsidR="00491A1B" w:rsidRDefault="0008401E">
        <w:pPr>
          <w:pStyle w:val="Piedepgina"/>
          <w:jc w:val="center"/>
        </w:pPr>
        <w:fldSimple w:instr=" PAGE   \* MERGEFORMAT ">
          <w:r w:rsidR="00B42DF5">
            <w:rPr>
              <w:noProof/>
            </w:rPr>
            <w:t>1</w:t>
          </w:r>
        </w:fldSimple>
      </w:p>
    </w:sdtContent>
  </w:sdt>
  <w:p w:rsidR="00904E87" w:rsidRDefault="006A67B8">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67B8" w:rsidRDefault="006A67B8" w:rsidP="00711297">
      <w:r>
        <w:separator/>
      </w:r>
    </w:p>
  </w:footnote>
  <w:footnote w:type="continuationSeparator" w:id="1">
    <w:p w:rsidR="006A67B8" w:rsidRDefault="006A67B8" w:rsidP="00711297">
      <w:r>
        <w:continuationSeparator/>
      </w:r>
    </w:p>
  </w:footnote>
  <w:footnote w:id="2">
    <w:p w:rsidR="00C46DE3" w:rsidRPr="00DC271D" w:rsidRDefault="00C46DE3" w:rsidP="00C46DE3">
      <w:pPr>
        <w:pStyle w:val="Textonotapie"/>
        <w:rPr>
          <w:sz w:val="16"/>
          <w:szCs w:val="16"/>
        </w:rPr>
      </w:pPr>
      <w:r w:rsidRPr="00DC271D">
        <w:rPr>
          <w:rStyle w:val="Refdenotaalpie"/>
          <w:sz w:val="16"/>
          <w:szCs w:val="16"/>
        </w:rPr>
        <w:footnoteRef/>
      </w:r>
      <w:r w:rsidRPr="00DC271D">
        <w:rPr>
          <w:sz w:val="16"/>
          <w:szCs w:val="16"/>
        </w:rPr>
        <w:t xml:space="preserve"> </w:t>
      </w:r>
      <w:r w:rsidRPr="00DC271D">
        <w:rPr>
          <w:b/>
          <w:bCs/>
          <w:sz w:val="16"/>
          <w:szCs w:val="16"/>
        </w:rPr>
        <w:t xml:space="preserve">Artículo </w:t>
      </w:r>
      <w:r>
        <w:rPr>
          <w:b/>
          <w:bCs/>
          <w:sz w:val="16"/>
          <w:szCs w:val="16"/>
        </w:rPr>
        <w:t>237</w:t>
      </w:r>
      <w:r w:rsidRPr="00DC271D">
        <w:rPr>
          <w:b/>
          <w:bCs/>
          <w:sz w:val="16"/>
          <w:szCs w:val="16"/>
        </w:rPr>
        <w:t>.- Causales de aplicación de sanción a los proveedores, participantes, postores y contratistas</w:t>
      </w:r>
    </w:p>
    <w:p w:rsidR="00C46DE3" w:rsidRPr="00DC271D" w:rsidRDefault="00C46DE3" w:rsidP="00C46DE3">
      <w:pPr>
        <w:pStyle w:val="Textonotapie"/>
        <w:rPr>
          <w:sz w:val="16"/>
          <w:szCs w:val="16"/>
        </w:rPr>
      </w:pPr>
      <w:r w:rsidRPr="00DC271D">
        <w:rPr>
          <w:sz w:val="16"/>
          <w:szCs w:val="16"/>
        </w:rPr>
        <w:t>El Tribunal impondrá la sanción administrativa de inhabilitación temporal o definitiva a los proveedores, participantes, postores y/o contratistas que:</w:t>
      </w:r>
    </w:p>
    <w:p w:rsidR="00C46DE3" w:rsidRPr="00DC271D" w:rsidRDefault="00C46DE3" w:rsidP="00C46DE3">
      <w:pPr>
        <w:pStyle w:val="Textonotapie"/>
        <w:rPr>
          <w:sz w:val="16"/>
          <w:szCs w:val="16"/>
        </w:rPr>
      </w:pPr>
      <w:r w:rsidRPr="00DC271D">
        <w:rPr>
          <w:sz w:val="16"/>
          <w:szCs w:val="16"/>
        </w:rPr>
        <w:t>(…)</w:t>
      </w:r>
    </w:p>
    <w:p w:rsidR="00C46DE3" w:rsidRPr="00DC271D" w:rsidRDefault="00C46DE3" w:rsidP="00C46DE3">
      <w:pPr>
        <w:pStyle w:val="Textonotapie"/>
        <w:rPr>
          <w:sz w:val="16"/>
          <w:szCs w:val="16"/>
        </w:rPr>
      </w:pPr>
      <w:r w:rsidRPr="00DC271D">
        <w:rPr>
          <w:sz w:val="16"/>
          <w:szCs w:val="16"/>
        </w:rPr>
        <w:t>2) Den lugar a la resolución del contrato, orden de compra o de servicios por causal atribuible a su parte.</w:t>
      </w:r>
    </w:p>
    <w:p w:rsidR="00C46DE3" w:rsidRPr="00237395" w:rsidRDefault="00C46DE3" w:rsidP="00C46DE3">
      <w:pPr>
        <w:pStyle w:val="Textonotapie"/>
        <w:rPr>
          <w:sz w:val="18"/>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DF5" w:rsidRDefault="00B42DF5" w:rsidP="00B42DF5">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B42DF5" w:rsidRDefault="00B42DF5" w:rsidP="00B42DF5">
    <w:pPr>
      <w:pStyle w:val="Encabezado"/>
      <w:rPr>
        <w:noProof/>
      </w:rPr>
    </w:pPr>
  </w:p>
  <w:p w:rsidR="00B42DF5" w:rsidRDefault="00B42DF5" w:rsidP="00B42DF5">
    <w:pPr>
      <w:pStyle w:val="Encabezado"/>
      <w:rPr>
        <w:noProof/>
      </w:rPr>
    </w:pPr>
  </w:p>
  <w:p w:rsidR="00B42DF5" w:rsidRDefault="00B42DF5" w:rsidP="00B42DF5">
    <w:pPr>
      <w:pStyle w:val="Encabezado"/>
      <w:rPr>
        <w:noProof/>
      </w:rPr>
    </w:pPr>
  </w:p>
  <w:p w:rsidR="00B42DF5" w:rsidRDefault="00B42DF5" w:rsidP="00B42DF5">
    <w:pPr>
      <w:pStyle w:val="Encabezado"/>
      <w:jc w:val="center"/>
    </w:pPr>
    <w:r>
      <w:rPr>
        <w:rFonts w:ascii="Monotype Corsiva" w:hAnsi="Monotype Corsiva"/>
        <w:b/>
        <w:sz w:val="44"/>
        <w:szCs w:val="44"/>
      </w:rPr>
      <w:t xml:space="preserve">Resolución Nº   </w:t>
    </w:r>
    <w:r>
      <w:rPr>
        <w:rFonts w:ascii="Tahoma" w:hAnsi="Tahoma" w:cs="Tahoma"/>
        <w:b/>
        <w:sz w:val="44"/>
        <w:szCs w:val="44"/>
      </w:rPr>
      <w:t>432-2011-TC-S1</w:t>
    </w:r>
  </w:p>
  <w:p w:rsidR="00B42DF5" w:rsidRDefault="00B42DF5">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11100"/>
    <w:multiLevelType w:val="hybridMultilevel"/>
    <w:tmpl w:val="E3501DDE"/>
    <w:lvl w:ilvl="0" w:tplc="0C0A0017">
      <w:start w:val="1"/>
      <w:numFmt w:val="lowerLetter"/>
      <w:lvlText w:val="%1)"/>
      <w:lvlJc w:val="lef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
    <w:nsid w:val="094E2944"/>
    <w:multiLevelType w:val="hybridMultilevel"/>
    <w:tmpl w:val="51080654"/>
    <w:lvl w:ilvl="0" w:tplc="110415B6">
      <w:start w:val="1"/>
      <w:numFmt w:val="decimal"/>
      <w:lvlText w:val="%1."/>
      <w:lvlJc w:val="left"/>
      <w:pPr>
        <w:tabs>
          <w:tab w:val="num" w:pos="720"/>
        </w:tabs>
        <w:ind w:left="720" w:hanging="360"/>
      </w:pPr>
      <w:rPr>
        <w:rFonts w:ascii="Tahoma" w:hAnsi="Tahoma" w:cs="Tahoma" w:hint="default"/>
        <w:b/>
        <w:i w:val="0"/>
        <w:shadow/>
        <w:sz w:val="20"/>
        <w:szCs w:val="20"/>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24E642A4"/>
    <w:multiLevelType w:val="hybridMultilevel"/>
    <w:tmpl w:val="B8E84A46"/>
    <w:lvl w:ilvl="0" w:tplc="64C07A18">
      <w:start w:val="1"/>
      <w:numFmt w:val="lowerLetter"/>
      <w:lvlText w:val="%1."/>
      <w:lvlJc w:val="left"/>
      <w:pPr>
        <w:ind w:left="1287" w:hanging="360"/>
      </w:pPr>
    </w:lvl>
    <w:lvl w:ilvl="1" w:tplc="70F2732C" w:tentative="1">
      <w:start w:val="1"/>
      <w:numFmt w:val="lowerLetter"/>
      <w:lvlText w:val="%2."/>
      <w:lvlJc w:val="left"/>
      <w:pPr>
        <w:ind w:left="2007" w:hanging="360"/>
      </w:pPr>
    </w:lvl>
    <w:lvl w:ilvl="2" w:tplc="1068C93C" w:tentative="1">
      <w:start w:val="1"/>
      <w:numFmt w:val="lowerRoman"/>
      <w:lvlText w:val="%3."/>
      <w:lvlJc w:val="right"/>
      <w:pPr>
        <w:ind w:left="2727" w:hanging="180"/>
      </w:pPr>
    </w:lvl>
    <w:lvl w:ilvl="3" w:tplc="213A255C"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3">
    <w:nsid w:val="30F60E13"/>
    <w:multiLevelType w:val="hybridMultilevel"/>
    <w:tmpl w:val="D39495C2"/>
    <w:lvl w:ilvl="0" w:tplc="BC464342">
      <w:start w:val="1"/>
      <w:numFmt w:val="lowerRoman"/>
      <w:lvlText w:val="%1."/>
      <w:lvlJc w:val="right"/>
      <w:pPr>
        <w:ind w:left="927" w:hanging="360"/>
      </w:pPr>
      <w:rPr>
        <w:rFonts w:hint="default"/>
        <w:b/>
        <w:i w:val="0"/>
        <w:sz w:val="20"/>
        <w:szCs w:val="20"/>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4">
    <w:nsid w:val="353575A8"/>
    <w:multiLevelType w:val="hybridMultilevel"/>
    <w:tmpl w:val="54F0E0A2"/>
    <w:lvl w:ilvl="0" w:tplc="64C07A18">
      <w:start w:val="1"/>
      <w:numFmt w:val="decimal"/>
      <w:lvlText w:val="%1."/>
      <w:lvlJc w:val="left"/>
      <w:pPr>
        <w:ind w:left="360" w:hanging="360"/>
      </w:pPr>
      <w:rPr>
        <w:b/>
      </w:rPr>
    </w:lvl>
    <w:lvl w:ilvl="1" w:tplc="70F2732C" w:tentative="1">
      <w:start w:val="1"/>
      <w:numFmt w:val="lowerLetter"/>
      <w:lvlText w:val="%2."/>
      <w:lvlJc w:val="left"/>
      <w:pPr>
        <w:ind w:left="1080" w:hanging="360"/>
      </w:pPr>
    </w:lvl>
    <w:lvl w:ilvl="2" w:tplc="1068C93C" w:tentative="1">
      <w:start w:val="1"/>
      <w:numFmt w:val="lowerRoman"/>
      <w:lvlText w:val="%3."/>
      <w:lvlJc w:val="right"/>
      <w:pPr>
        <w:ind w:left="1800" w:hanging="180"/>
      </w:pPr>
    </w:lvl>
    <w:lvl w:ilvl="3" w:tplc="213A255C"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
    <w:nsid w:val="36C13996"/>
    <w:multiLevelType w:val="hybridMultilevel"/>
    <w:tmpl w:val="3940A9BE"/>
    <w:lvl w:ilvl="0" w:tplc="5150BA24">
      <w:start w:val="1"/>
      <w:numFmt w:val="lowerRoman"/>
      <w:lvlText w:val="%1."/>
      <w:lvlJc w:val="right"/>
      <w:pPr>
        <w:ind w:left="1440" w:hanging="360"/>
      </w:pPr>
      <w:rPr>
        <w:b/>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6">
    <w:nsid w:val="3B7B237C"/>
    <w:multiLevelType w:val="hybridMultilevel"/>
    <w:tmpl w:val="012444D4"/>
    <w:lvl w:ilvl="0" w:tplc="64C07A18">
      <w:start w:val="1"/>
      <w:numFmt w:val="decimal"/>
      <w:lvlText w:val="%1."/>
      <w:lvlJc w:val="left"/>
      <w:pPr>
        <w:tabs>
          <w:tab w:val="num" w:pos="720"/>
        </w:tabs>
        <w:ind w:left="720" w:hanging="360"/>
      </w:pPr>
      <w:rPr>
        <w:b/>
      </w:rPr>
    </w:lvl>
    <w:lvl w:ilvl="1" w:tplc="70F2732C">
      <w:start w:val="1"/>
      <w:numFmt w:val="lowerLetter"/>
      <w:lvlText w:val="%2."/>
      <w:lvlJc w:val="left"/>
      <w:pPr>
        <w:tabs>
          <w:tab w:val="num" w:pos="1440"/>
        </w:tabs>
        <w:ind w:left="1440" w:hanging="360"/>
      </w:pPr>
    </w:lvl>
    <w:lvl w:ilvl="2" w:tplc="1068C93C">
      <w:start w:val="1"/>
      <w:numFmt w:val="lowerLetter"/>
      <w:lvlText w:val="%3)"/>
      <w:lvlJc w:val="left"/>
      <w:pPr>
        <w:tabs>
          <w:tab w:val="num" w:pos="2340"/>
        </w:tabs>
        <w:ind w:left="2340" w:hanging="360"/>
      </w:pPr>
      <w:rPr>
        <w:rFonts w:hint="default"/>
      </w:rPr>
    </w:lvl>
    <w:lvl w:ilvl="3" w:tplc="213A255C"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40497296"/>
    <w:multiLevelType w:val="hybridMultilevel"/>
    <w:tmpl w:val="C2221798"/>
    <w:lvl w:ilvl="0" w:tplc="64C07A18">
      <w:start w:val="1"/>
      <w:numFmt w:val="lowerLetter"/>
      <w:lvlText w:val="%1)"/>
      <w:lvlJc w:val="left"/>
      <w:pPr>
        <w:ind w:left="1800" w:hanging="360"/>
      </w:pPr>
      <w:rPr>
        <w:b/>
      </w:rPr>
    </w:lvl>
    <w:lvl w:ilvl="1" w:tplc="70F2732C" w:tentative="1">
      <w:start w:val="1"/>
      <w:numFmt w:val="lowerLetter"/>
      <w:lvlText w:val="%2."/>
      <w:lvlJc w:val="left"/>
      <w:pPr>
        <w:ind w:left="2520" w:hanging="360"/>
      </w:pPr>
    </w:lvl>
    <w:lvl w:ilvl="2" w:tplc="1068C93C" w:tentative="1">
      <w:start w:val="1"/>
      <w:numFmt w:val="lowerRoman"/>
      <w:lvlText w:val="%3."/>
      <w:lvlJc w:val="right"/>
      <w:pPr>
        <w:ind w:left="3240" w:hanging="180"/>
      </w:pPr>
    </w:lvl>
    <w:lvl w:ilvl="3" w:tplc="213A255C"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8">
    <w:nsid w:val="452C5B89"/>
    <w:multiLevelType w:val="hybridMultilevel"/>
    <w:tmpl w:val="3940A9BE"/>
    <w:lvl w:ilvl="0" w:tplc="26EEE608">
      <w:start w:val="1"/>
      <w:numFmt w:val="lowerRoman"/>
      <w:lvlText w:val="%1."/>
      <w:lvlJc w:val="right"/>
      <w:pPr>
        <w:ind w:left="1440" w:hanging="360"/>
      </w:pPr>
      <w:rPr>
        <w:b/>
      </w:rPr>
    </w:lvl>
    <w:lvl w:ilvl="1" w:tplc="51769F8C" w:tentative="1">
      <w:start w:val="1"/>
      <w:numFmt w:val="lowerLetter"/>
      <w:lvlText w:val="%2."/>
      <w:lvlJc w:val="left"/>
      <w:pPr>
        <w:ind w:left="2160" w:hanging="360"/>
      </w:pPr>
    </w:lvl>
    <w:lvl w:ilvl="2" w:tplc="3A8094B6" w:tentative="1">
      <w:start w:val="1"/>
      <w:numFmt w:val="lowerRoman"/>
      <w:lvlText w:val="%3."/>
      <w:lvlJc w:val="right"/>
      <w:pPr>
        <w:ind w:left="2880" w:hanging="180"/>
      </w:pPr>
    </w:lvl>
    <w:lvl w:ilvl="3" w:tplc="90AC9E70" w:tentative="1">
      <w:start w:val="1"/>
      <w:numFmt w:val="decimal"/>
      <w:lvlText w:val="%4."/>
      <w:lvlJc w:val="left"/>
      <w:pPr>
        <w:ind w:left="3600" w:hanging="360"/>
      </w:pPr>
    </w:lvl>
    <w:lvl w:ilvl="4" w:tplc="CC1A8702" w:tentative="1">
      <w:start w:val="1"/>
      <w:numFmt w:val="lowerLetter"/>
      <w:lvlText w:val="%5."/>
      <w:lvlJc w:val="left"/>
      <w:pPr>
        <w:ind w:left="4320" w:hanging="360"/>
      </w:pPr>
    </w:lvl>
    <w:lvl w:ilvl="5" w:tplc="D1F68552" w:tentative="1">
      <w:start w:val="1"/>
      <w:numFmt w:val="lowerRoman"/>
      <w:lvlText w:val="%6."/>
      <w:lvlJc w:val="right"/>
      <w:pPr>
        <w:ind w:left="5040" w:hanging="180"/>
      </w:pPr>
    </w:lvl>
    <w:lvl w:ilvl="6" w:tplc="FE76A0E6" w:tentative="1">
      <w:start w:val="1"/>
      <w:numFmt w:val="decimal"/>
      <w:lvlText w:val="%7."/>
      <w:lvlJc w:val="left"/>
      <w:pPr>
        <w:ind w:left="5760" w:hanging="360"/>
      </w:pPr>
    </w:lvl>
    <w:lvl w:ilvl="7" w:tplc="358CA20A" w:tentative="1">
      <w:start w:val="1"/>
      <w:numFmt w:val="lowerLetter"/>
      <w:lvlText w:val="%8."/>
      <w:lvlJc w:val="left"/>
      <w:pPr>
        <w:ind w:left="6480" w:hanging="360"/>
      </w:pPr>
    </w:lvl>
    <w:lvl w:ilvl="8" w:tplc="DC1A7A36" w:tentative="1">
      <w:start w:val="1"/>
      <w:numFmt w:val="lowerRoman"/>
      <w:lvlText w:val="%9."/>
      <w:lvlJc w:val="right"/>
      <w:pPr>
        <w:ind w:left="7200" w:hanging="180"/>
      </w:pPr>
    </w:lvl>
  </w:abstractNum>
  <w:abstractNum w:abstractNumId="9">
    <w:nsid w:val="53B76387"/>
    <w:multiLevelType w:val="hybridMultilevel"/>
    <w:tmpl w:val="B172E634"/>
    <w:lvl w:ilvl="0" w:tplc="F7B2FA96">
      <w:start w:val="1"/>
      <w:numFmt w:val="decimal"/>
      <w:lvlText w:val="%1."/>
      <w:lvlJc w:val="left"/>
      <w:pPr>
        <w:ind w:left="720" w:hanging="360"/>
      </w:pPr>
      <w:rPr>
        <w:rFonts w:ascii="Tahoma" w:hAnsi="Tahoma" w:cs="Tahoma" w:hint="default"/>
        <w:b/>
        <w:i w:val="0"/>
        <w:color w:val="auto"/>
      </w:rPr>
    </w:lvl>
    <w:lvl w:ilvl="1" w:tplc="29FC20E4">
      <w:start w:val="5"/>
      <w:numFmt w:val="upperLetter"/>
      <w:lvlText w:val="%2."/>
      <w:lvlJc w:val="left"/>
      <w:pPr>
        <w:tabs>
          <w:tab w:val="num" w:pos="1440"/>
        </w:tabs>
        <w:ind w:left="1440" w:hanging="36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54F73FDD"/>
    <w:multiLevelType w:val="hybridMultilevel"/>
    <w:tmpl w:val="015C6C94"/>
    <w:lvl w:ilvl="0" w:tplc="64C07A18">
      <w:start w:val="1"/>
      <w:numFmt w:val="lowerRoman"/>
      <w:lvlText w:val="%1."/>
      <w:lvlJc w:val="right"/>
      <w:pPr>
        <w:tabs>
          <w:tab w:val="num" w:pos="1287"/>
        </w:tabs>
        <w:ind w:left="1287" w:hanging="720"/>
      </w:pPr>
      <w:rPr>
        <w:rFonts w:hint="default"/>
        <w:b/>
        <w:sz w:val="24"/>
        <w:szCs w:val="24"/>
      </w:rPr>
    </w:lvl>
    <w:lvl w:ilvl="1" w:tplc="70F2732C" w:tentative="1">
      <w:start w:val="1"/>
      <w:numFmt w:val="lowerLetter"/>
      <w:lvlText w:val="%2."/>
      <w:lvlJc w:val="left"/>
      <w:pPr>
        <w:tabs>
          <w:tab w:val="num" w:pos="1647"/>
        </w:tabs>
        <w:ind w:left="1647" w:hanging="360"/>
      </w:pPr>
    </w:lvl>
    <w:lvl w:ilvl="2" w:tplc="1068C93C" w:tentative="1">
      <w:start w:val="1"/>
      <w:numFmt w:val="lowerRoman"/>
      <w:lvlText w:val="%3."/>
      <w:lvlJc w:val="right"/>
      <w:pPr>
        <w:tabs>
          <w:tab w:val="num" w:pos="2367"/>
        </w:tabs>
        <w:ind w:left="2367" w:hanging="180"/>
      </w:pPr>
    </w:lvl>
    <w:lvl w:ilvl="3" w:tplc="213A255C" w:tentative="1">
      <w:start w:val="1"/>
      <w:numFmt w:val="decimal"/>
      <w:lvlText w:val="%4."/>
      <w:lvlJc w:val="left"/>
      <w:pPr>
        <w:tabs>
          <w:tab w:val="num" w:pos="3087"/>
        </w:tabs>
        <w:ind w:left="3087" w:hanging="360"/>
      </w:pPr>
    </w:lvl>
    <w:lvl w:ilvl="4" w:tplc="0C0A0019" w:tentative="1">
      <w:start w:val="1"/>
      <w:numFmt w:val="lowerLetter"/>
      <w:lvlText w:val="%5."/>
      <w:lvlJc w:val="left"/>
      <w:pPr>
        <w:tabs>
          <w:tab w:val="num" w:pos="3807"/>
        </w:tabs>
        <w:ind w:left="3807" w:hanging="360"/>
      </w:pPr>
    </w:lvl>
    <w:lvl w:ilvl="5" w:tplc="0C0A001B" w:tentative="1">
      <w:start w:val="1"/>
      <w:numFmt w:val="lowerRoman"/>
      <w:lvlText w:val="%6."/>
      <w:lvlJc w:val="right"/>
      <w:pPr>
        <w:tabs>
          <w:tab w:val="num" w:pos="4527"/>
        </w:tabs>
        <w:ind w:left="4527" w:hanging="180"/>
      </w:pPr>
    </w:lvl>
    <w:lvl w:ilvl="6" w:tplc="0C0A000F" w:tentative="1">
      <w:start w:val="1"/>
      <w:numFmt w:val="decimal"/>
      <w:lvlText w:val="%7."/>
      <w:lvlJc w:val="left"/>
      <w:pPr>
        <w:tabs>
          <w:tab w:val="num" w:pos="5247"/>
        </w:tabs>
        <w:ind w:left="5247" w:hanging="360"/>
      </w:pPr>
    </w:lvl>
    <w:lvl w:ilvl="7" w:tplc="0C0A0019" w:tentative="1">
      <w:start w:val="1"/>
      <w:numFmt w:val="lowerLetter"/>
      <w:lvlText w:val="%8."/>
      <w:lvlJc w:val="left"/>
      <w:pPr>
        <w:tabs>
          <w:tab w:val="num" w:pos="5967"/>
        </w:tabs>
        <w:ind w:left="5967" w:hanging="360"/>
      </w:pPr>
    </w:lvl>
    <w:lvl w:ilvl="8" w:tplc="0C0A001B" w:tentative="1">
      <w:start w:val="1"/>
      <w:numFmt w:val="lowerRoman"/>
      <w:lvlText w:val="%9."/>
      <w:lvlJc w:val="right"/>
      <w:pPr>
        <w:tabs>
          <w:tab w:val="num" w:pos="6687"/>
        </w:tabs>
        <w:ind w:left="6687" w:hanging="180"/>
      </w:pPr>
    </w:lvl>
  </w:abstractNum>
  <w:abstractNum w:abstractNumId="11">
    <w:nsid w:val="55706F67"/>
    <w:multiLevelType w:val="hybridMultilevel"/>
    <w:tmpl w:val="C0589430"/>
    <w:lvl w:ilvl="0" w:tplc="64C07A18">
      <w:start w:val="1"/>
      <w:numFmt w:val="decimal"/>
      <w:lvlText w:val="%1."/>
      <w:lvlJc w:val="left"/>
      <w:pPr>
        <w:tabs>
          <w:tab w:val="num" w:pos="720"/>
        </w:tabs>
        <w:ind w:left="720" w:hanging="360"/>
      </w:pPr>
      <w:rPr>
        <w:rFonts w:hint="default"/>
      </w:rPr>
    </w:lvl>
    <w:lvl w:ilvl="1" w:tplc="70F2732C" w:tentative="1">
      <w:start w:val="1"/>
      <w:numFmt w:val="lowerLetter"/>
      <w:lvlText w:val="%2."/>
      <w:lvlJc w:val="left"/>
      <w:pPr>
        <w:tabs>
          <w:tab w:val="num" w:pos="1440"/>
        </w:tabs>
        <w:ind w:left="1440" w:hanging="360"/>
      </w:pPr>
    </w:lvl>
    <w:lvl w:ilvl="2" w:tplc="1068C93C" w:tentative="1">
      <w:start w:val="1"/>
      <w:numFmt w:val="lowerRoman"/>
      <w:lvlText w:val="%3."/>
      <w:lvlJc w:val="right"/>
      <w:pPr>
        <w:tabs>
          <w:tab w:val="num" w:pos="2160"/>
        </w:tabs>
        <w:ind w:left="2160" w:hanging="180"/>
      </w:pPr>
    </w:lvl>
    <w:lvl w:ilvl="3" w:tplc="213A255C"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nsid w:val="5ACC101E"/>
    <w:multiLevelType w:val="hybridMultilevel"/>
    <w:tmpl w:val="1DCCA2AC"/>
    <w:lvl w:ilvl="0" w:tplc="0C0A0019">
      <w:start w:val="1"/>
      <w:numFmt w:val="lowerRoman"/>
      <w:lvlText w:val="%1."/>
      <w:lvlJc w:val="right"/>
      <w:pPr>
        <w:ind w:left="1004" w:hanging="360"/>
      </w:pPr>
      <w:rPr>
        <w:b/>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13">
    <w:nsid w:val="5E193018"/>
    <w:multiLevelType w:val="hybridMultilevel"/>
    <w:tmpl w:val="CC50CAA0"/>
    <w:lvl w:ilvl="0" w:tplc="B1187586">
      <w:start w:val="1"/>
      <w:numFmt w:val="lowerRoman"/>
      <w:lvlText w:val="%1."/>
      <w:lvlJc w:val="right"/>
      <w:pPr>
        <w:ind w:left="1080" w:hanging="360"/>
      </w:pPr>
      <w:rPr>
        <w:rFonts w:hint="default"/>
        <w:b/>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4">
    <w:nsid w:val="5E1931F5"/>
    <w:multiLevelType w:val="hybridMultilevel"/>
    <w:tmpl w:val="91FA9AB2"/>
    <w:lvl w:ilvl="0" w:tplc="0D7EF60A">
      <w:start w:val="1"/>
      <w:numFmt w:val="decimal"/>
      <w:lvlText w:val="%1."/>
      <w:lvlJc w:val="left"/>
      <w:pPr>
        <w:tabs>
          <w:tab w:val="num" w:pos="360"/>
        </w:tabs>
        <w:ind w:left="360" w:hanging="360"/>
      </w:pPr>
      <w:rPr>
        <w:rFonts w:ascii="Tahoma" w:hAnsi="Tahoma" w:cs="Tahoma" w:hint="default"/>
        <w:b/>
        <w:sz w:val="20"/>
        <w:szCs w:val="20"/>
      </w:rPr>
    </w:lvl>
    <w:lvl w:ilvl="1" w:tplc="0C0A0019">
      <w:start w:val="12"/>
      <w:numFmt w:val="decimal"/>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nsid w:val="616122C0"/>
    <w:multiLevelType w:val="hybridMultilevel"/>
    <w:tmpl w:val="22E2C15A"/>
    <w:lvl w:ilvl="0" w:tplc="0C0A0015">
      <w:start w:val="1"/>
      <w:numFmt w:val="lowerLetter"/>
      <w:lvlText w:val="%1)"/>
      <w:lvlJc w:val="left"/>
      <w:pPr>
        <w:ind w:left="1080" w:hanging="360"/>
      </w:pPr>
      <w:rPr>
        <w:rFonts w:hint="default"/>
        <w:b/>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6">
    <w:nsid w:val="653B5A99"/>
    <w:multiLevelType w:val="hybridMultilevel"/>
    <w:tmpl w:val="7B980FA0"/>
    <w:lvl w:ilvl="0" w:tplc="250A74F8">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66D30A47"/>
    <w:multiLevelType w:val="hybridMultilevel"/>
    <w:tmpl w:val="DAC09874"/>
    <w:lvl w:ilvl="0" w:tplc="330CB458">
      <w:start w:val="1"/>
      <w:numFmt w:val="decimal"/>
      <w:lvlText w:val="%1."/>
      <w:lvlJc w:val="left"/>
      <w:pPr>
        <w:ind w:left="720" w:hanging="360"/>
      </w:pPr>
      <w:rPr>
        <w:rFonts w:hint="default"/>
        <w:b/>
        <w:shadow/>
      </w:rPr>
    </w:lvl>
    <w:lvl w:ilvl="1" w:tplc="0C0A0019" w:tentative="1">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6EA50FF8"/>
    <w:multiLevelType w:val="hybridMultilevel"/>
    <w:tmpl w:val="942E561C"/>
    <w:lvl w:ilvl="0" w:tplc="E5BE6922">
      <w:start w:val="1"/>
      <w:numFmt w:val="decimal"/>
      <w:lvlText w:val="%1."/>
      <w:lvlJc w:val="right"/>
      <w:pPr>
        <w:ind w:left="360" w:hanging="360"/>
      </w:pPr>
      <w:rPr>
        <w:rFonts w:ascii="Tahoma" w:hAnsi="Tahoma" w:hint="default"/>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6ED82661"/>
    <w:multiLevelType w:val="hybridMultilevel"/>
    <w:tmpl w:val="951AA452"/>
    <w:lvl w:ilvl="0" w:tplc="46B4D042">
      <w:start w:val="1"/>
      <w:numFmt w:val="lowerLetter"/>
      <w:lvlText w:val="%1."/>
      <w:lvlJc w:val="left"/>
      <w:pPr>
        <w:tabs>
          <w:tab w:val="num" w:pos="1440"/>
        </w:tabs>
        <w:ind w:left="1440" w:hanging="360"/>
      </w:pPr>
      <w:rPr>
        <w:b/>
      </w:rPr>
    </w:lvl>
    <w:lvl w:ilvl="1" w:tplc="0C0A0019">
      <w:start w:val="1"/>
      <w:numFmt w:val="lowerLetter"/>
      <w:lvlText w:val="%2."/>
      <w:lvlJc w:val="left"/>
      <w:pPr>
        <w:tabs>
          <w:tab w:val="num" w:pos="1440"/>
        </w:tabs>
        <w:ind w:left="1440" w:hanging="360"/>
      </w:pPr>
    </w:lvl>
    <w:lvl w:ilvl="2" w:tplc="61B4AD0E">
      <w:start w:val="1"/>
      <w:numFmt w:val="decimal"/>
      <w:lvlText w:val="%3."/>
      <w:lvlJc w:val="left"/>
      <w:pPr>
        <w:tabs>
          <w:tab w:val="num" w:pos="2340"/>
        </w:tabs>
        <w:ind w:left="2340" w:hanging="360"/>
      </w:pPr>
      <w:rPr>
        <w:rFonts w:hint="default"/>
        <w:b/>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nsid w:val="7384599B"/>
    <w:multiLevelType w:val="hybridMultilevel"/>
    <w:tmpl w:val="8D5EC736"/>
    <w:lvl w:ilvl="0" w:tplc="F5C055C0">
      <w:start w:val="1"/>
      <w:numFmt w:val="lowerLetter"/>
      <w:lvlText w:val="%1."/>
      <w:lvlJc w:val="left"/>
      <w:pPr>
        <w:ind w:left="1287" w:hanging="360"/>
      </w:pPr>
    </w:lvl>
    <w:lvl w:ilvl="1" w:tplc="0C0A0019">
      <w:start w:val="1"/>
      <w:numFmt w:val="decimal"/>
      <w:lvlText w:val="%2."/>
      <w:lvlJc w:val="left"/>
      <w:pPr>
        <w:tabs>
          <w:tab w:val="num" w:pos="1440"/>
        </w:tabs>
        <w:ind w:left="1440" w:hanging="360"/>
      </w:pPr>
    </w:lvl>
    <w:lvl w:ilvl="2" w:tplc="709221C6">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1">
    <w:nsid w:val="742A4401"/>
    <w:multiLevelType w:val="hybridMultilevel"/>
    <w:tmpl w:val="9FB8DAE2"/>
    <w:lvl w:ilvl="0" w:tplc="430EC130">
      <w:start w:val="1"/>
      <w:numFmt w:val="decimal"/>
      <w:lvlText w:val="%1."/>
      <w:lvlJc w:val="left"/>
      <w:pPr>
        <w:ind w:left="1287" w:hanging="360"/>
      </w:pPr>
      <w:rPr>
        <w:rFonts w:ascii="Tahoma" w:hAnsi="Tahoma" w:cs="Tahoma" w:hint="default"/>
        <w:b/>
        <w:sz w:val="20"/>
        <w:szCs w:val="20"/>
      </w:rPr>
    </w:lvl>
    <w:lvl w:ilvl="1" w:tplc="C8DE6CEA">
      <w:start w:val="1"/>
      <w:numFmt w:val="lowerLetter"/>
      <w:lvlText w:val="%2)"/>
      <w:lvlJc w:val="left"/>
      <w:pPr>
        <w:tabs>
          <w:tab w:val="num" w:pos="2007"/>
        </w:tabs>
        <w:ind w:left="2007" w:hanging="360"/>
      </w:pPr>
      <w:rPr>
        <w:rFonts w:hint="default"/>
        <w:b/>
        <w:lang w:val="es-ES"/>
      </w:r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2">
    <w:nsid w:val="77041A0B"/>
    <w:multiLevelType w:val="hybridMultilevel"/>
    <w:tmpl w:val="0624DA72"/>
    <w:lvl w:ilvl="0" w:tplc="0C0A000F">
      <w:start w:val="1"/>
      <w:numFmt w:val="lowerLetter"/>
      <w:lvlText w:val="%1)"/>
      <w:lvlJc w:val="left"/>
      <w:pPr>
        <w:ind w:left="1571" w:hanging="360"/>
      </w:pPr>
      <w:rPr>
        <w:rFonts w:hint="default"/>
        <w:b/>
        <w:lang w:val="es-ES"/>
      </w:rPr>
    </w:lvl>
    <w:lvl w:ilvl="1" w:tplc="0C0A0019" w:tentative="1">
      <w:start w:val="1"/>
      <w:numFmt w:val="lowerLetter"/>
      <w:lvlText w:val="%2."/>
      <w:lvlJc w:val="left"/>
      <w:pPr>
        <w:ind w:left="2291" w:hanging="360"/>
      </w:pPr>
    </w:lvl>
    <w:lvl w:ilvl="2" w:tplc="0C0A001B">
      <w:start w:val="1"/>
      <w:numFmt w:val="lowerRoman"/>
      <w:lvlText w:val="%3."/>
      <w:lvlJc w:val="right"/>
      <w:pPr>
        <w:ind w:left="3011" w:hanging="180"/>
      </w:pPr>
    </w:lvl>
    <w:lvl w:ilvl="3" w:tplc="0C0A000F" w:tentative="1">
      <w:start w:val="1"/>
      <w:numFmt w:val="decimal"/>
      <w:lvlText w:val="%4."/>
      <w:lvlJc w:val="left"/>
      <w:pPr>
        <w:ind w:left="3731" w:hanging="360"/>
      </w:pPr>
    </w:lvl>
    <w:lvl w:ilvl="4" w:tplc="0C0A0019" w:tentative="1">
      <w:start w:val="1"/>
      <w:numFmt w:val="lowerLetter"/>
      <w:lvlText w:val="%5."/>
      <w:lvlJc w:val="left"/>
      <w:pPr>
        <w:ind w:left="4451" w:hanging="360"/>
      </w:pPr>
    </w:lvl>
    <w:lvl w:ilvl="5" w:tplc="0C0A001B" w:tentative="1">
      <w:start w:val="1"/>
      <w:numFmt w:val="lowerRoman"/>
      <w:lvlText w:val="%6."/>
      <w:lvlJc w:val="right"/>
      <w:pPr>
        <w:ind w:left="5171" w:hanging="180"/>
      </w:pPr>
    </w:lvl>
    <w:lvl w:ilvl="6" w:tplc="0C0A000F" w:tentative="1">
      <w:start w:val="1"/>
      <w:numFmt w:val="decimal"/>
      <w:lvlText w:val="%7."/>
      <w:lvlJc w:val="left"/>
      <w:pPr>
        <w:ind w:left="5891" w:hanging="360"/>
      </w:pPr>
    </w:lvl>
    <w:lvl w:ilvl="7" w:tplc="0C0A0019" w:tentative="1">
      <w:start w:val="1"/>
      <w:numFmt w:val="lowerLetter"/>
      <w:lvlText w:val="%8."/>
      <w:lvlJc w:val="left"/>
      <w:pPr>
        <w:ind w:left="6611" w:hanging="360"/>
      </w:pPr>
    </w:lvl>
    <w:lvl w:ilvl="8" w:tplc="0C0A001B" w:tentative="1">
      <w:start w:val="1"/>
      <w:numFmt w:val="lowerRoman"/>
      <w:lvlText w:val="%9."/>
      <w:lvlJc w:val="right"/>
      <w:pPr>
        <w:ind w:left="7331" w:hanging="180"/>
      </w:pPr>
    </w:lvl>
  </w:abstractNum>
  <w:abstractNum w:abstractNumId="23">
    <w:nsid w:val="7EC759A6"/>
    <w:multiLevelType w:val="hybridMultilevel"/>
    <w:tmpl w:val="1B886FE6"/>
    <w:lvl w:ilvl="0" w:tplc="EEE8C01E">
      <w:start w:val="1"/>
      <w:numFmt w:val="decimal"/>
      <w:lvlText w:val="%1."/>
      <w:lvlJc w:val="left"/>
      <w:pPr>
        <w:tabs>
          <w:tab w:val="num" w:pos="360"/>
        </w:tabs>
        <w:ind w:left="360" w:hanging="360"/>
      </w:pPr>
      <w:rPr>
        <w:b/>
      </w:rPr>
    </w:lvl>
    <w:lvl w:ilvl="1" w:tplc="0C0A0019">
      <w:start w:val="1"/>
      <w:numFmt w:val="lowerLetter"/>
      <w:lvlText w:val="%2."/>
      <w:lvlJc w:val="left"/>
      <w:pPr>
        <w:tabs>
          <w:tab w:val="num" w:pos="1080"/>
        </w:tabs>
        <w:ind w:left="1080" w:hanging="360"/>
      </w:pPr>
      <w:rPr>
        <w:b/>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21"/>
  </w:num>
  <w:num w:numId="2">
    <w:abstractNumId w:val="14"/>
  </w:num>
  <w:num w:numId="3">
    <w:abstractNumId w:val="4"/>
  </w:num>
  <w:num w:numId="4">
    <w:abstractNumId w:val="6"/>
  </w:num>
  <w:num w:numId="5">
    <w:abstractNumId w:val="1"/>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
  </w:num>
  <w:num w:numId="10">
    <w:abstractNumId w:val="10"/>
  </w:num>
  <w:num w:numId="11">
    <w:abstractNumId w:val="11"/>
  </w:num>
  <w:num w:numId="12">
    <w:abstractNumId w:val="22"/>
  </w:num>
  <w:num w:numId="13">
    <w:abstractNumId w:val="16"/>
  </w:num>
  <w:num w:numId="14">
    <w:abstractNumId w:val="12"/>
  </w:num>
  <w:num w:numId="15">
    <w:abstractNumId w:val="19"/>
  </w:num>
  <w:num w:numId="16">
    <w:abstractNumId w:val="3"/>
  </w:num>
  <w:num w:numId="17">
    <w:abstractNumId w:val="17"/>
  </w:num>
  <w:num w:numId="18">
    <w:abstractNumId w:val="23"/>
  </w:num>
  <w:num w:numId="19">
    <w:abstractNumId w:val="13"/>
  </w:num>
  <w:num w:numId="20">
    <w:abstractNumId w:val="15"/>
  </w:num>
  <w:num w:numId="21">
    <w:abstractNumId w:val="9"/>
  </w:num>
  <w:num w:numId="22">
    <w:abstractNumId w:val="0"/>
  </w:num>
  <w:num w:numId="23">
    <w:abstractNumId w:val="18"/>
  </w:num>
  <w:num w:numId="24">
    <w:abstractNumId w:val="8"/>
  </w:num>
  <w:num w:numId="2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6386"/>
  </w:hdrShapeDefaults>
  <w:footnotePr>
    <w:footnote w:id="0"/>
    <w:footnote w:id="1"/>
  </w:footnotePr>
  <w:endnotePr>
    <w:endnote w:id="0"/>
    <w:endnote w:id="1"/>
  </w:endnotePr>
  <w:compat/>
  <w:rsids>
    <w:rsidRoot w:val="00711297"/>
    <w:rsid w:val="000070EB"/>
    <w:rsid w:val="000115B4"/>
    <w:rsid w:val="00015440"/>
    <w:rsid w:val="00066E33"/>
    <w:rsid w:val="0008401E"/>
    <w:rsid w:val="000A3CD2"/>
    <w:rsid w:val="000B0720"/>
    <w:rsid w:val="000B6FEB"/>
    <w:rsid w:val="000E01D1"/>
    <w:rsid w:val="00101193"/>
    <w:rsid w:val="00141BCC"/>
    <w:rsid w:val="00142B7D"/>
    <w:rsid w:val="00162FCA"/>
    <w:rsid w:val="0016735A"/>
    <w:rsid w:val="001D57DE"/>
    <w:rsid w:val="001D728A"/>
    <w:rsid w:val="001E6A70"/>
    <w:rsid w:val="001F190A"/>
    <w:rsid w:val="001F38BE"/>
    <w:rsid w:val="002078ED"/>
    <w:rsid w:val="002401C1"/>
    <w:rsid w:val="002578D8"/>
    <w:rsid w:val="00275158"/>
    <w:rsid w:val="00277B64"/>
    <w:rsid w:val="0029262B"/>
    <w:rsid w:val="002D1AB4"/>
    <w:rsid w:val="00303817"/>
    <w:rsid w:val="00305D8E"/>
    <w:rsid w:val="003129E0"/>
    <w:rsid w:val="00332D11"/>
    <w:rsid w:val="0036432D"/>
    <w:rsid w:val="003B5386"/>
    <w:rsid w:val="003F28DF"/>
    <w:rsid w:val="0041002F"/>
    <w:rsid w:val="0041279D"/>
    <w:rsid w:val="004156B9"/>
    <w:rsid w:val="00423DAB"/>
    <w:rsid w:val="00431A1D"/>
    <w:rsid w:val="00452C37"/>
    <w:rsid w:val="00491A1B"/>
    <w:rsid w:val="00496C81"/>
    <w:rsid w:val="004A2F3F"/>
    <w:rsid w:val="004D2DDC"/>
    <w:rsid w:val="004E2E93"/>
    <w:rsid w:val="004F1A48"/>
    <w:rsid w:val="005757F4"/>
    <w:rsid w:val="00624E18"/>
    <w:rsid w:val="00661593"/>
    <w:rsid w:val="00665EE9"/>
    <w:rsid w:val="006A67B8"/>
    <w:rsid w:val="006C3078"/>
    <w:rsid w:val="006D0EE9"/>
    <w:rsid w:val="007007F0"/>
    <w:rsid w:val="00711297"/>
    <w:rsid w:val="0077221D"/>
    <w:rsid w:val="007728C3"/>
    <w:rsid w:val="00792EBF"/>
    <w:rsid w:val="007C19F1"/>
    <w:rsid w:val="007D15DD"/>
    <w:rsid w:val="007D2B93"/>
    <w:rsid w:val="00806BF2"/>
    <w:rsid w:val="00806C06"/>
    <w:rsid w:val="00811526"/>
    <w:rsid w:val="008205CC"/>
    <w:rsid w:val="00822F18"/>
    <w:rsid w:val="00857463"/>
    <w:rsid w:val="00871316"/>
    <w:rsid w:val="0087374F"/>
    <w:rsid w:val="00877F0D"/>
    <w:rsid w:val="00893198"/>
    <w:rsid w:val="008B56B1"/>
    <w:rsid w:val="009269B4"/>
    <w:rsid w:val="00986843"/>
    <w:rsid w:val="009871D2"/>
    <w:rsid w:val="009B4922"/>
    <w:rsid w:val="009C3AD8"/>
    <w:rsid w:val="009C7372"/>
    <w:rsid w:val="00A00959"/>
    <w:rsid w:val="00A01498"/>
    <w:rsid w:val="00A23794"/>
    <w:rsid w:val="00A460D5"/>
    <w:rsid w:val="00A50577"/>
    <w:rsid w:val="00A539DF"/>
    <w:rsid w:val="00AD56A4"/>
    <w:rsid w:val="00AE34F7"/>
    <w:rsid w:val="00AE4C07"/>
    <w:rsid w:val="00B05429"/>
    <w:rsid w:val="00B17CAB"/>
    <w:rsid w:val="00B326B5"/>
    <w:rsid w:val="00B327B4"/>
    <w:rsid w:val="00B42DF5"/>
    <w:rsid w:val="00BD1EAF"/>
    <w:rsid w:val="00BE0C34"/>
    <w:rsid w:val="00BF2EF7"/>
    <w:rsid w:val="00BF6919"/>
    <w:rsid w:val="00C156F5"/>
    <w:rsid w:val="00C345ED"/>
    <w:rsid w:val="00C3613C"/>
    <w:rsid w:val="00C46DE3"/>
    <w:rsid w:val="00C6431F"/>
    <w:rsid w:val="00C737FA"/>
    <w:rsid w:val="00C930B1"/>
    <w:rsid w:val="00CC02FE"/>
    <w:rsid w:val="00CE3EE9"/>
    <w:rsid w:val="00D63ECF"/>
    <w:rsid w:val="00D75CB2"/>
    <w:rsid w:val="00D83E6E"/>
    <w:rsid w:val="00DD0EB3"/>
    <w:rsid w:val="00E376A0"/>
    <w:rsid w:val="00E53BE0"/>
    <w:rsid w:val="00E92B54"/>
    <w:rsid w:val="00E949AC"/>
    <w:rsid w:val="00EA1648"/>
    <w:rsid w:val="00EA5F27"/>
    <w:rsid w:val="00EB60D5"/>
    <w:rsid w:val="00EC725E"/>
    <w:rsid w:val="00EE0B96"/>
    <w:rsid w:val="00F30719"/>
    <w:rsid w:val="00F543DD"/>
    <w:rsid w:val="00F81266"/>
    <w:rsid w:val="00FA55CE"/>
    <w:rsid w:val="00FE18D9"/>
    <w:rsid w:val="00FE6DDC"/>
    <w:rsid w:val="00FF747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297"/>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711297"/>
    <w:pPr>
      <w:spacing w:after="120"/>
    </w:pPr>
    <w:rPr>
      <w:sz w:val="16"/>
      <w:szCs w:val="16"/>
      <w:lang w:val="es-PE"/>
    </w:rPr>
  </w:style>
  <w:style w:type="character" w:customStyle="1" w:styleId="Textoindependiente3Car">
    <w:name w:val="Texto independiente 3 Car"/>
    <w:basedOn w:val="Fuentedeprrafopredeter"/>
    <w:link w:val="Textoindependiente3"/>
    <w:rsid w:val="00711297"/>
    <w:rPr>
      <w:rFonts w:ascii="Times New Roman" w:eastAsia="Times New Roman" w:hAnsi="Times New Roman" w:cs="Times New Roman"/>
      <w:sz w:val="16"/>
      <w:szCs w:val="16"/>
      <w:lang w:val="es-PE" w:eastAsia="es-ES"/>
    </w:rPr>
  </w:style>
  <w:style w:type="paragraph" w:styleId="Prrafodelista">
    <w:name w:val="List Paragraph"/>
    <w:basedOn w:val="Normal"/>
    <w:qFormat/>
    <w:rsid w:val="00711297"/>
    <w:pPr>
      <w:ind w:left="720"/>
      <w:contextualSpacing/>
    </w:pPr>
  </w:style>
  <w:style w:type="paragraph" w:styleId="Textonotapie">
    <w:name w:val="footnote text"/>
    <w:aliases w:val=" Car,Car,Car Car,Car Car Car,Texto nota pie1, Car4,Car4,Body Text, Car2 Car Car Car Car Car, Car2 Car, Car2, Car1 Car"/>
    <w:basedOn w:val="Normal"/>
    <w:link w:val="TextonotapieCar"/>
    <w:rsid w:val="00711297"/>
    <w:rPr>
      <w:sz w:val="20"/>
      <w:szCs w:val="20"/>
    </w:rPr>
  </w:style>
  <w:style w:type="character" w:customStyle="1" w:styleId="TextonotapieCar">
    <w:name w:val="Texto nota pie Car"/>
    <w:aliases w:val=" Car Car,Car Car1,Car Car Car1,Car Car Car Car,Texto nota pie1 Car, Car4 Car,Car4 Car,Body Text Car, Car2 Car Car Car Car Car Car, Car2 Car Car, Car2 Car1, Car1 Car Car"/>
    <w:basedOn w:val="Fuentedeprrafopredeter"/>
    <w:link w:val="Textonotapie"/>
    <w:rsid w:val="00711297"/>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711297"/>
    <w:rPr>
      <w:rFonts w:cs="Times New Roman"/>
      <w:vertAlign w:val="superscript"/>
    </w:rPr>
  </w:style>
  <w:style w:type="paragraph" w:styleId="Sinespaciado">
    <w:name w:val="No Spacing"/>
    <w:uiPriority w:val="1"/>
    <w:qFormat/>
    <w:rsid w:val="00711297"/>
    <w:pPr>
      <w:spacing w:after="0" w:line="240" w:lineRule="auto"/>
    </w:pPr>
    <w:rPr>
      <w:rFonts w:ascii="Calibri" w:eastAsia="Calibri" w:hAnsi="Calibri" w:cs="Times New Roman"/>
    </w:rPr>
  </w:style>
  <w:style w:type="paragraph" w:customStyle="1" w:styleId="Textoindependiente21">
    <w:name w:val="Texto independiente 21"/>
    <w:basedOn w:val="Normal"/>
    <w:rsid w:val="00711297"/>
    <w:pPr>
      <w:jc w:val="both"/>
    </w:pPr>
    <w:rPr>
      <w:rFonts w:ascii="Tahoma" w:hAnsi="Tahoma"/>
      <w:sz w:val="22"/>
      <w:szCs w:val="20"/>
    </w:rPr>
  </w:style>
  <w:style w:type="paragraph" w:styleId="Piedepgina">
    <w:name w:val="footer"/>
    <w:basedOn w:val="Normal"/>
    <w:link w:val="PiedepginaCar"/>
    <w:uiPriority w:val="99"/>
    <w:unhideWhenUsed/>
    <w:rsid w:val="00711297"/>
    <w:pPr>
      <w:tabs>
        <w:tab w:val="center" w:pos="4252"/>
        <w:tab w:val="right" w:pos="8504"/>
      </w:tabs>
    </w:pPr>
  </w:style>
  <w:style w:type="character" w:customStyle="1" w:styleId="PiedepginaCar">
    <w:name w:val="Pie de página Car"/>
    <w:basedOn w:val="Fuentedeprrafopredeter"/>
    <w:link w:val="Piedepgina"/>
    <w:uiPriority w:val="99"/>
    <w:rsid w:val="00711297"/>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nhideWhenUsed/>
    <w:rsid w:val="00711297"/>
    <w:pPr>
      <w:spacing w:after="120"/>
    </w:pPr>
  </w:style>
  <w:style w:type="character" w:customStyle="1" w:styleId="TextoindependienteCar">
    <w:name w:val="Texto independiente Car"/>
    <w:basedOn w:val="Fuentedeprrafopredeter"/>
    <w:link w:val="Textoindependiente"/>
    <w:rsid w:val="00711297"/>
    <w:rPr>
      <w:rFonts w:ascii="Times New Roman" w:eastAsia="Times New Roman" w:hAnsi="Times New Roman" w:cs="Times New Roman"/>
      <w:sz w:val="24"/>
      <w:szCs w:val="24"/>
      <w:lang w:eastAsia="es-ES"/>
    </w:rPr>
  </w:style>
  <w:style w:type="paragraph" w:styleId="Textoindependiente2">
    <w:name w:val="Body Text 2"/>
    <w:basedOn w:val="Normal"/>
    <w:link w:val="Textoindependiente2Car"/>
    <w:unhideWhenUsed/>
    <w:rsid w:val="00877F0D"/>
    <w:pPr>
      <w:spacing w:after="120" w:line="480" w:lineRule="auto"/>
    </w:pPr>
    <w:rPr>
      <w:sz w:val="20"/>
      <w:szCs w:val="20"/>
    </w:rPr>
  </w:style>
  <w:style w:type="character" w:customStyle="1" w:styleId="Textoindependiente2Car">
    <w:name w:val="Texto independiente 2 Car"/>
    <w:basedOn w:val="Fuentedeprrafopredeter"/>
    <w:link w:val="Textoindependiente2"/>
    <w:rsid w:val="00877F0D"/>
    <w:rPr>
      <w:rFonts w:ascii="Times New Roman" w:eastAsia="Times New Roman" w:hAnsi="Times New Roman" w:cs="Times New Roman"/>
      <w:sz w:val="20"/>
      <w:szCs w:val="20"/>
      <w:lang w:eastAsia="es-ES"/>
    </w:rPr>
  </w:style>
  <w:style w:type="paragraph" w:styleId="Sangradetextonormal">
    <w:name w:val="Body Text Indent"/>
    <w:basedOn w:val="Normal"/>
    <w:link w:val="SangradetextonormalCar"/>
    <w:uiPriority w:val="99"/>
    <w:unhideWhenUsed/>
    <w:rsid w:val="00986843"/>
    <w:pPr>
      <w:spacing w:after="120"/>
      <w:ind w:left="283"/>
      <w:jc w:val="both"/>
    </w:pPr>
    <w:rPr>
      <w:rFonts w:ascii="Tahoma" w:eastAsia="Calibri" w:hAnsi="Tahoma"/>
      <w:sz w:val="22"/>
      <w:szCs w:val="22"/>
      <w:lang w:eastAsia="en-US"/>
    </w:rPr>
  </w:style>
  <w:style w:type="character" w:customStyle="1" w:styleId="SangradetextonormalCar">
    <w:name w:val="Sangría de texto normal Car"/>
    <w:basedOn w:val="Fuentedeprrafopredeter"/>
    <w:link w:val="Sangradetextonormal"/>
    <w:uiPriority w:val="99"/>
    <w:rsid w:val="00986843"/>
    <w:rPr>
      <w:rFonts w:ascii="Tahoma" w:eastAsia="Calibri" w:hAnsi="Tahoma" w:cs="Times New Roman"/>
    </w:rPr>
  </w:style>
  <w:style w:type="paragraph" w:styleId="Encabezado">
    <w:name w:val="header"/>
    <w:aliases w:val="maria,h"/>
    <w:basedOn w:val="Normal"/>
    <w:link w:val="EncabezadoCar"/>
    <w:uiPriority w:val="99"/>
    <w:semiHidden/>
    <w:unhideWhenUsed/>
    <w:rsid w:val="00491A1B"/>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491A1B"/>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172453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12</Pages>
  <Words>5436</Words>
  <Characters>29903</Characters>
  <Application>Microsoft Office Word</Application>
  <DocSecurity>0</DocSecurity>
  <Lines>249</Lines>
  <Paragraphs>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dc:creator>
  <cp:keywords/>
  <dc:description/>
  <cp:lastModifiedBy>bcaceres</cp:lastModifiedBy>
  <cp:revision>133</cp:revision>
  <cp:lastPrinted>2010-08-31T15:17:00Z</cp:lastPrinted>
  <dcterms:created xsi:type="dcterms:W3CDTF">2009-12-29T20:43:00Z</dcterms:created>
  <dcterms:modified xsi:type="dcterms:W3CDTF">2011-04-06T16:30:00Z</dcterms:modified>
</cp:coreProperties>
</file>